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39F73" w14:textId="77777777" w:rsidR="00FE7799" w:rsidRPr="00FE7799" w:rsidRDefault="00FE7799" w:rsidP="00FE7799">
      <w:pPr>
        <w:widowControl/>
        <w:jc w:val="center"/>
        <w:rPr>
          <w:rFonts w:ascii="宋体" w:eastAsia="宋体" w:hAnsi="宋体" w:cs="宋体"/>
          <w:kern w:val="0"/>
          <w:szCs w:val="21"/>
        </w:rPr>
      </w:pPr>
      <w:r w:rsidRPr="00FE7799">
        <w:rPr>
          <w:rFonts w:ascii="宋体" w:eastAsia="宋体" w:hAnsi="宋体" w:cs="宋体" w:hint="eastAsia"/>
          <w:kern w:val="0"/>
          <w:szCs w:val="21"/>
        </w:rPr>
        <w:t>最高人民法院关于适用《行政复议法》第三十条第一款有关问题的批复</w:t>
      </w:r>
      <w:r w:rsidRPr="00FE7799">
        <w:rPr>
          <w:rFonts w:ascii="宋体" w:eastAsia="宋体" w:hAnsi="宋体" w:cs="宋体" w:hint="eastAsia"/>
          <w:kern w:val="0"/>
          <w:szCs w:val="21"/>
        </w:rPr>
        <w:br/>
        <w:t>（2003年1月9日最高人民法院审判委员会第1263次会议通过）</w:t>
      </w:r>
    </w:p>
    <w:p w14:paraId="43C8CF2D" w14:textId="77777777" w:rsidR="00FE7799" w:rsidRPr="00FE7799" w:rsidRDefault="00FE7799" w:rsidP="00FE7799">
      <w:pPr>
        <w:widowControl/>
        <w:jc w:val="left"/>
        <w:rPr>
          <w:rFonts w:ascii="宋体" w:eastAsia="宋体" w:hAnsi="宋体" w:cs="宋体" w:hint="eastAsia"/>
          <w:kern w:val="0"/>
          <w:sz w:val="24"/>
          <w:szCs w:val="24"/>
        </w:rPr>
      </w:pPr>
      <w:bookmarkStart w:id="0" w:name="_GoBack"/>
      <w:bookmarkEnd w:id="0"/>
      <w:r w:rsidRPr="00FE7799">
        <w:rPr>
          <w:rFonts w:ascii="宋体" w:eastAsia="宋体" w:hAnsi="宋体" w:cs="宋体" w:hint="eastAsia"/>
          <w:kern w:val="0"/>
          <w:szCs w:val="21"/>
        </w:rPr>
        <w:br/>
        <w:t>山西省高级人民法院：</w:t>
      </w:r>
      <w:r w:rsidRPr="00FE7799">
        <w:rPr>
          <w:rFonts w:ascii="宋体" w:eastAsia="宋体" w:hAnsi="宋体" w:cs="宋体" w:hint="eastAsia"/>
          <w:kern w:val="0"/>
          <w:szCs w:val="21"/>
        </w:rPr>
        <w:br/>
        <w:t xml:space="preserve">　　你院《关于适用＜行政复议法＞第三十条第一款有关问题的请示》收悉。经研究，答复如下：</w:t>
      </w:r>
      <w:r w:rsidRPr="00FE7799">
        <w:rPr>
          <w:rFonts w:ascii="宋体" w:eastAsia="宋体" w:hAnsi="宋体" w:cs="宋体" w:hint="eastAsia"/>
          <w:kern w:val="0"/>
          <w:szCs w:val="21"/>
        </w:rPr>
        <w:br/>
        <w:t xml:space="preserve">　　根据《</w:t>
      </w:r>
      <w:hyperlink r:id="rId4" w:history="1">
        <w:r w:rsidRPr="00FE7799">
          <w:rPr>
            <w:rFonts w:ascii="Arial" w:eastAsia="宋体" w:hAnsi="Arial" w:cs="Arial"/>
            <w:kern w:val="0"/>
            <w:szCs w:val="21"/>
            <w:u w:val="single"/>
          </w:rPr>
          <w:t>行政复议法</w:t>
        </w:r>
      </w:hyperlink>
      <w:r w:rsidRPr="00FE7799">
        <w:rPr>
          <w:rFonts w:ascii="宋体" w:eastAsia="宋体" w:hAnsi="宋体" w:cs="宋体" w:hint="eastAsia"/>
          <w:kern w:val="0"/>
          <w:szCs w:val="21"/>
        </w:rPr>
        <w:t>》第</w:t>
      </w:r>
      <w:hyperlink r:id="rId5" w:history="1">
        <w:r w:rsidRPr="00FE7799">
          <w:rPr>
            <w:rFonts w:ascii="Arial" w:eastAsia="宋体" w:hAnsi="Arial" w:cs="Arial"/>
            <w:kern w:val="0"/>
            <w:szCs w:val="21"/>
            <w:u w:val="single"/>
          </w:rPr>
          <w:t>三十条</w:t>
        </w:r>
      </w:hyperlink>
      <w:r w:rsidRPr="00FE7799">
        <w:rPr>
          <w:rFonts w:ascii="宋体" w:eastAsia="宋体" w:hAnsi="宋体" w:cs="宋体" w:hint="eastAsia"/>
          <w:kern w:val="0"/>
          <w:szCs w:val="21"/>
        </w:rPr>
        <w:t>第一款的规定，公民、法人或者其他组织认为行政机关确认土地、矿藏、水流、森林、山岭、草原、荒地、滩涂、海域等自然资源的所有权或者使用权的具体行政行为，侵犯其已经依法取得的自然资源所有权或者使用权的，经行政复议后．才可以向人民法院提起行政诉讼，但法律另有规定的除外；对涉及自然资源所有权或者使用权的行政处罚、行政强制措施等其他具体行政行为提起行政诉讼的，不适用《</w:t>
      </w:r>
      <w:hyperlink r:id="rId6" w:history="1">
        <w:r w:rsidRPr="00FE7799">
          <w:rPr>
            <w:rFonts w:ascii="Arial" w:eastAsia="宋体" w:hAnsi="Arial" w:cs="Arial"/>
            <w:kern w:val="0"/>
            <w:szCs w:val="21"/>
            <w:u w:val="single"/>
          </w:rPr>
          <w:t>行政复议法</w:t>
        </w:r>
      </w:hyperlink>
      <w:r w:rsidRPr="00FE7799">
        <w:rPr>
          <w:rFonts w:ascii="宋体" w:eastAsia="宋体" w:hAnsi="宋体" w:cs="宋体" w:hint="eastAsia"/>
          <w:kern w:val="0"/>
          <w:szCs w:val="21"/>
        </w:rPr>
        <w:t>》第</w:t>
      </w:r>
      <w:hyperlink r:id="rId7" w:history="1">
        <w:r w:rsidRPr="00FE7799">
          <w:rPr>
            <w:rFonts w:ascii="Arial" w:eastAsia="宋体" w:hAnsi="Arial" w:cs="Arial"/>
            <w:kern w:val="0"/>
            <w:szCs w:val="21"/>
            <w:u w:val="single"/>
          </w:rPr>
          <w:t>三十条</w:t>
        </w:r>
      </w:hyperlink>
      <w:r w:rsidRPr="00FE7799">
        <w:rPr>
          <w:rFonts w:ascii="宋体" w:eastAsia="宋体" w:hAnsi="宋体" w:cs="宋体" w:hint="eastAsia"/>
          <w:kern w:val="0"/>
          <w:szCs w:val="21"/>
        </w:rPr>
        <w:t>第一款的规定。</w:t>
      </w:r>
      <w:r w:rsidRPr="00FE7799">
        <w:rPr>
          <w:rFonts w:ascii="宋体" w:eastAsia="宋体" w:hAnsi="宋体" w:cs="宋体" w:hint="eastAsia"/>
          <w:kern w:val="0"/>
          <w:szCs w:val="21"/>
        </w:rPr>
        <w:br/>
        <w:t xml:space="preserve">　　此复。</w:t>
      </w:r>
      <w:r w:rsidRPr="00FE7799">
        <w:rPr>
          <w:rFonts w:ascii="宋体" w:eastAsia="宋体" w:hAnsi="宋体" w:cs="宋体" w:hint="eastAsia"/>
          <w:kern w:val="0"/>
          <w:szCs w:val="21"/>
        </w:rPr>
        <w:br/>
      </w:r>
      <w:r w:rsidRPr="00FE7799">
        <w:rPr>
          <w:rFonts w:ascii="宋体" w:eastAsia="宋体" w:hAnsi="宋体" w:cs="宋体" w:hint="eastAsia"/>
          <w:kern w:val="0"/>
          <w:szCs w:val="21"/>
        </w:rPr>
        <w:br/>
        <w:t xml:space="preserve">　　附：</w:t>
      </w:r>
      <w:r w:rsidRPr="00FE7799">
        <w:rPr>
          <w:rFonts w:ascii="宋体" w:eastAsia="宋体" w:hAnsi="宋体" w:cs="宋体" w:hint="eastAsia"/>
          <w:kern w:val="0"/>
          <w:szCs w:val="21"/>
        </w:rPr>
        <w:br/>
      </w:r>
    </w:p>
    <w:p w14:paraId="09C0C75E" w14:textId="77777777" w:rsidR="00FE7799" w:rsidRPr="00FE7799" w:rsidRDefault="00FE7799" w:rsidP="00FE7799">
      <w:pPr>
        <w:widowControl/>
        <w:jc w:val="center"/>
        <w:rPr>
          <w:rFonts w:ascii="宋体" w:eastAsia="宋体" w:hAnsi="宋体" w:cs="宋体"/>
          <w:kern w:val="0"/>
          <w:szCs w:val="21"/>
        </w:rPr>
      </w:pPr>
      <w:r w:rsidRPr="00FE7799">
        <w:rPr>
          <w:rFonts w:ascii="宋体" w:eastAsia="宋体" w:hAnsi="宋体" w:cs="宋体" w:hint="eastAsia"/>
          <w:kern w:val="0"/>
          <w:szCs w:val="21"/>
        </w:rPr>
        <w:t>山西省高级人民法院关于适用《行政复议法》第三十条第一款有关问题的请示</w:t>
      </w:r>
      <w:r w:rsidRPr="00FE7799">
        <w:rPr>
          <w:rFonts w:ascii="宋体" w:eastAsia="宋体" w:hAnsi="宋体" w:cs="宋体" w:hint="eastAsia"/>
          <w:kern w:val="0"/>
          <w:szCs w:val="21"/>
        </w:rPr>
        <w:br/>
        <w:t>（[2000]晋法行字第11号）</w:t>
      </w:r>
    </w:p>
    <w:p w14:paraId="43AD28B4" w14:textId="77777777" w:rsidR="00FE7799" w:rsidRPr="00FE7799" w:rsidRDefault="00FE7799" w:rsidP="00FE7799">
      <w:pPr>
        <w:widowControl/>
        <w:jc w:val="left"/>
        <w:rPr>
          <w:rFonts w:ascii="宋体" w:eastAsia="宋体" w:hAnsi="宋体" w:cs="宋体" w:hint="eastAsia"/>
          <w:kern w:val="0"/>
          <w:sz w:val="24"/>
          <w:szCs w:val="24"/>
        </w:rPr>
      </w:pPr>
      <w:r w:rsidRPr="00FE7799">
        <w:rPr>
          <w:rFonts w:ascii="宋体" w:eastAsia="宋体" w:hAnsi="宋体" w:cs="宋体" w:hint="eastAsia"/>
          <w:kern w:val="0"/>
          <w:szCs w:val="21"/>
        </w:rPr>
        <w:br/>
        <w:t>最高人民法院：</w:t>
      </w:r>
      <w:r w:rsidRPr="00FE7799">
        <w:rPr>
          <w:rFonts w:ascii="宋体" w:eastAsia="宋体" w:hAnsi="宋体" w:cs="宋体" w:hint="eastAsia"/>
          <w:kern w:val="0"/>
          <w:szCs w:val="21"/>
        </w:rPr>
        <w:br/>
        <w:t xml:space="preserve">　　《</w:t>
      </w:r>
      <w:hyperlink r:id="rId8" w:history="1">
        <w:r w:rsidRPr="00FE7799">
          <w:rPr>
            <w:rFonts w:ascii="Arial" w:eastAsia="宋体" w:hAnsi="Arial" w:cs="Arial"/>
            <w:kern w:val="0"/>
            <w:szCs w:val="21"/>
            <w:u w:val="single"/>
          </w:rPr>
          <w:t>行政复议法</w:t>
        </w:r>
      </w:hyperlink>
      <w:r w:rsidRPr="00FE7799">
        <w:rPr>
          <w:rFonts w:ascii="宋体" w:eastAsia="宋体" w:hAnsi="宋体" w:cs="宋体" w:hint="eastAsia"/>
          <w:kern w:val="0"/>
          <w:szCs w:val="21"/>
        </w:rPr>
        <w:t>》第</w:t>
      </w:r>
      <w:hyperlink r:id="rId9" w:history="1">
        <w:r w:rsidRPr="00FE7799">
          <w:rPr>
            <w:rFonts w:ascii="Arial" w:eastAsia="宋体" w:hAnsi="Arial" w:cs="Arial"/>
            <w:kern w:val="0"/>
            <w:szCs w:val="21"/>
            <w:u w:val="single"/>
          </w:rPr>
          <w:t>三十条</w:t>
        </w:r>
      </w:hyperlink>
      <w:r w:rsidRPr="00FE7799">
        <w:rPr>
          <w:rFonts w:ascii="宋体" w:eastAsia="宋体" w:hAnsi="宋体" w:cs="宋体" w:hint="eastAsia"/>
          <w:kern w:val="0"/>
          <w:szCs w:val="21"/>
        </w:rPr>
        <w:t>第一款规定“公民、法人或者其他组织认为行政机关的具体行政行为侵犯其已经依法取得的土地、矿藏、水流、森林、山岭、草原、荒地、滩涂、海域等自然资源的所有权或者使用权的，应当先申请复议；对行政复议决定不服的，可以依法向人民法院提起行政诉讼。”审判实践中，对因自然资源所有权或使用权引发争议的行政诉讼案件，哪些应适用复议前置程序存在不同意见：</w:t>
      </w:r>
      <w:r w:rsidRPr="00FE7799">
        <w:rPr>
          <w:rFonts w:ascii="宋体" w:eastAsia="宋体" w:hAnsi="宋体" w:cs="宋体" w:hint="eastAsia"/>
          <w:kern w:val="0"/>
          <w:szCs w:val="21"/>
        </w:rPr>
        <w:br/>
        <w:t xml:space="preserve">　　一种意见认为，适用复议前置程序的案件应具备两个条件：一是相对人认为具体行政行为侵犯了自己合法的使用权或所有权；二是相对人必须“依法取得”了所涉自然资源的所有权或使用权，即必须持有手续完备的使用权或所有权证或法院的裁判文书。这类案件包括不服收回、撤销或变更所有权或使用权证、许可证的，不包括确定自然资源权属的行政案件。</w:t>
      </w:r>
      <w:r w:rsidRPr="00FE7799">
        <w:rPr>
          <w:rFonts w:ascii="宋体" w:eastAsia="宋体" w:hAnsi="宋体" w:cs="宋体" w:hint="eastAsia"/>
          <w:kern w:val="0"/>
          <w:szCs w:val="21"/>
        </w:rPr>
        <w:br/>
        <w:t xml:space="preserve">　　另一种意见认为，相对人认为自己已经“依法取得”了自然资源所有权或使用权的情况比较复杂，有些虽未取得有关证件，但已实际使用多年，他人也无异议，有些存在争议虽经有关部门解决多次仍无结果，争议当事人或多或少都有一定证据或理由认为依法应由自己所有或使用，法院也一时无法判定，因此当事人提起诉讼的，都应先经过复议，这类案件不仅包括前述案件，也应包括不服确权决定的案件。</w:t>
      </w:r>
      <w:r w:rsidRPr="00FE7799">
        <w:rPr>
          <w:rFonts w:ascii="宋体" w:eastAsia="宋体" w:hAnsi="宋体" w:cs="宋体" w:hint="eastAsia"/>
          <w:kern w:val="0"/>
          <w:szCs w:val="21"/>
        </w:rPr>
        <w:br/>
        <w:t xml:space="preserve">　　我院审判委员会经研究，原则上同意后一种意见，同时认为，根据《土地法》、《矿产资源管理法》等法律法规，确定自然资源所有权或使用权一般是政府或行政主管部门的专属职权，对自然资源的权属争议往往争议时间长、情况比较复杂，极易引起集团诉讼，解决此类争议的专业性、政策性也较强，由行政机关先行复议，有利于调动行政机关履行职责的积极性，有利于解决矛盾，平息纠纷。</w:t>
      </w:r>
      <w:r w:rsidRPr="00FE7799">
        <w:rPr>
          <w:rFonts w:ascii="宋体" w:eastAsia="宋体" w:hAnsi="宋体" w:cs="宋体" w:hint="eastAsia"/>
          <w:kern w:val="0"/>
          <w:szCs w:val="21"/>
        </w:rPr>
        <w:br/>
        <w:t xml:space="preserve">　　妥否，请批示。</w:t>
      </w:r>
      <w:r w:rsidRPr="00FE7799">
        <w:rPr>
          <w:rFonts w:ascii="宋体" w:eastAsia="宋体" w:hAnsi="宋体" w:cs="宋体" w:hint="eastAsia"/>
          <w:kern w:val="0"/>
          <w:szCs w:val="21"/>
        </w:rPr>
        <w:br/>
      </w:r>
      <w:r w:rsidRPr="00FE7799">
        <w:rPr>
          <w:rFonts w:ascii="宋体" w:eastAsia="宋体" w:hAnsi="宋体" w:cs="宋体" w:hint="eastAsia"/>
          <w:kern w:val="0"/>
          <w:szCs w:val="21"/>
        </w:rPr>
        <w:br/>
      </w:r>
    </w:p>
    <w:p w14:paraId="64FF6D23" w14:textId="77777777" w:rsidR="00FE7799" w:rsidRPr="00FE7799" w:rsidRDefault="00FE7799" w:rsidP="00FE7799">
      <w:pPr>
        <w:widowControl/>
        <w:jc w:val="right"/>
        <w:rPr>
          <w:rFonts w:ascii="宋体" w:eastAsia="宋体" w:hAnsi="宋体" w:cs="宋体"/>
          <w:kern w:val="0"/>
          <w:szCs w:val="21"/>
        </w:rPr>
      </w:pPr>
      <w:r w:rsidRPr="00FE7799">
        <w:rPr>
          <w:rFonts w:ascii="宋体" w:eastAsia="宋体" w:hAnsi="宋体" w:cs="宋体" w:hint="eastAsia"/>
          <w:kern w:val="0"/>
          <w:szCs w:val="21"/>
        </w:rPr>
        <w:t xml:space="preserve">　　二○○○年十一月二十三日</w:t>
      </w:r>
    </w:p>
    <w:p w14:paraId="41065B41" w14:textId="77777777" w:rsidR="00A03DAF" w:rsidRPr="00FE7799" w:rsidRDefault="002C02DA"/>
    <w:sectPr w:rsidR="00A03DAF" w:rsidRPr="00FE7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9D"/>
    <w:rsid w:val="003723E1"/>
    <w:rsid w:val="00D34AEF"/>
    <w:rsid w:val="00E7709D"/>
    <w:rsid w:val="00FE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71548-997A-4A28-8511-1A90B29D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kwd">
    <w:name w:val="style_kwd"/>
    <w:basedOn w:val="a0"/>
    <w:rsid w:val="00FE7799"/>
  </w:style>
  <w:style w:type="character" w:styleId="a3">
    <w:name w:val="Hyperlink"/>
    <w:basedOn w:val="a0"/>
    <w:uiPriority w:val="99"/>
    <w:semiHidden/>
    <w:unhideWhenUsed/>
    <w:rsid w:val="00FE77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9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LC(22100,0)" TargetMode="External"/><Relationship Id="rId3" Type="http://schemas.openxmlformats.org/officeDocument/2006/relationships/webSettings" Target="webSettings.xml"/><Relationship Id="rId7" Type="http://schemas.openxmlformats.org/officeDocument/2006/relationships/hyperlink" Target="javascript:SLC(22100,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LC(22100,0)" TargetMode="External"/><Relationship Id="rId11" Type="http://schemas.openxmlformats.org/officeDocument/2006/relationships/theme" Target="theme/theme1.xml"/><Relationship Id="rId5" Type="http://schemas.openxmlformats.org/officeDocument/2006/relationships/hyperlink" Target="javascript:SLC(22100,30)" TargetMode="External"/><Relationship Id="rId10" Type="http://schemas.openxmlformats.org/officeDocument/2006/relationships/fontTable" Target="fontTable.xml"/><Relationship Id="rId4" Type="http://schemas.openxmlformats.org/officeDocument/2006/relationships/hyperlink" Target="javascript:SLC(22100,0)" TargetMode="External"/><Relationship Id="rId9" Type="http://schemas.openxmlformats.org/officeDocument/2006/relationships/hyperlink" Target="javascript:SLC(22100,3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2019-07-02T08:33:00Z</dcterms:created>
  <dcterms:modified xsi:type="dcterms:W3CDTF">2019-07-02T08:34:00Z</dcterms:modified>
</cp:coreProperties>
</file>