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B6" w:rsidRPr="00882D53" w:rsidRDefault="00912EB6" w:rsidP="00882D53">
      <w:pPr>
        <w:widowControl/>
        <w:shd w:val="clear" w:color="auto" w:fill="FFFFFF"/>
        <w:snapToGrid w:val="0"/>
        <w:spacing w:before="100" w:beforeAutospacing="1" w:after="100" w:afterAutospacing="1" w:line="360" w:lineRule="auto"/>
        <w:ind w:firstLineChars="50" w:firstLine="181"/>
        <w:jc w:val="center"/>
        <w:rPr>
          <w:rFonts w:asciiTheme="minorEastAsia" w:hAnsiTheme="minorEastAsia" w:cs="宋体"/>
          <w:b/>
          <w:color w:val="000000"/>
          <w:kern w:val="0"/>
          <w:sz w:val="36"/>
          <w:szCs w:val="36"/>
        </w:rPr>
      </w:pPr>
      <w:r w:rsidRPr="00882D53">
        <w:rPr>
          <w:rFonts w:asciiTheme="minorEastAsia" w:hAnsiTheme="minorEastAsia" w:cs="宋体" w:hint="eastAsia"/>
          <w:b/>
          <w:bCs/>
          <w:color w:val="000000"/>
          <w:kern w:val="0"/>
          <w:sz w:val="36"/>
          <w:szCs w:val="36"/>
        </w:rPr>
        <w:t>重庆市国土房管局关于</w:t>
      </w:r>
    </w:p>
    <w:p w:rsidR="00912EB6" w:rsidRPr="00882D53" w:rsidRDefault="00912EB6" w:rsidP="00882D53">
      <w:pPr>
        <w:widowControl/>
        <w:shd w:val="clear" w:color="auto" w:fill="FFFFFF"/>
        <w:snapToGrid w:val="0"/>
        <w:spacing w:before="100" w:beforeAutospacing="1" w:after="100" w:afterAutospacing="1" w:line="360" w:lineRule="auto"/>
        <w:ind w:firstLineChars="50" w:firstLine="181"/>
        <w:jc w:val="center"/>
        <w:rPr>
          <w:rFonts w:asciiTheme="minorEastAsia" w:hAnsiTheme="minorEastAsia" w:cs="宋体"/>
          <w:b/>
          <w:color w:val="000000"/>
          <w:kern w:val="0"/>
          <w:sz w:val="36"/>
          <w:szCs w:val="36"/>
        </w:rPr>
      </w:pPr>
      <w:r w:rsidRPr="00882D53">
        <w:rPr>
          <w:rFonts w:asciiTheme="minorEastAsia" w:hAnsiTheme="minorEastAsia" w:cs="宋体" w:hint="eastAsia"/>
          <w:b/>
          <w:bCs/>
          <w:color w:val="000000"/>
          <w:kern w:val="0"/>
          <w:sz w:val="36"/>
          <w:szCs w:val="36"/>
        </w:rPr>
        <w:t>印发</w:t>
      </w:r>
      <w:proofErr w:type="gramStart"/>
      <w:r w:rsidRPr="00882D53">
        <w:rPr>
          <w:rFonts w:asciiTheme="minorEastAsia" w:hAnsiTheme="minorEastAsia" w:cs="宋体" w:hint="eastAsia"/>
          <w:b/>
          <w:bCs/>
          <w:color w:val="000000"/>
          <w:kern w:val="0"/>
          <w:sz w:val="36"/>
          <w:szCs w:val="36"/>
        </w:rPr>
        <w:t>《</w:t>
      </w:r>
      <w:proofErr w:type="gramEnd"/>
      <w:r w:rsidRPr="00882D53">
        <w:rPr>
          <w:rFonts w:asciiTheme="minorEastAsia" w:hAnsiTheme="minorEastAsia" w:cs="宋体" w:hint="eastAsia"/>
          <w:b/>
          <w:color w:val="000000"/>
          <w:kern w:val="0"/>
          <w:sz w:val="36"/>
          <w:szCs w:val="36"/>
        </w:rPr>
        <w:t>重庆市国有土地上房屋征收</w:t>
      </w:r>
    </w:p>
    <w:p w:rsidR="00912EB6" w:rsidRPr="00882D53" w:rsidRDefault="00912EB6" w:rsidP="00882D53">
      <w:pPr>
        <w:widowControl/>
        <w:shd w:val="clear" w:color="auto" w:fill="FFFFFF"/>
        <w:snapToGrid w:val="0"/>
        <w:spacing w:before="100" w:beforeAutospacing="1" w:after="100" w:afterAutospacing="1" w:line="360" w:lineRule="auto"/>
        <w:ind w:firstLineChars="50" w:firstLine="181"/>
        <w:jc w:val="center"/>
        <w:rPr>
          <w:rFonts w:asciiTheme="minorEastAsia" w:hAnsiTheme="minorEastAsia" w:cs="宋体"/>
          <w:b/>
          <w:color w:val="000000"/>
          <w:kern w:val="0"/>
          <w:sz w:val="36"/>
          <w:szCs w:val="36"/>
        </w:rPr>
      </w:pPr>
      <w:r w:rsidRPr="00882D53">
        <w:rPr>
          <w:rFonts w:asciiTheme="minorEastAsia" w:hAnsiTheme="minorEastAsia" w:cs="宋体" w:hint="eastAsia"/>
          <w:b/>
          <w:color w:val="000000"/>
          <w:kern w:val="0"/>
          <w:sz w:val="36"/>
          <w:szCs w:val="36"/>
        </w:rPr>
        <w:t>评估技术规范试行</w:t>
      </w:r>
      <w:proofErr w:type="gramStart"/>
      <w:r w:rsidRPr="00882D53">
        <w:rPr>
          <w:rFonts w:asciiTheme="minorEastAsia" w:hAnsiTheme="minorEastAsia" w:cs="宋体" w:hint="eastAsia"/>
          <w:b/>
          <w:color w:val="000000"/>
          <w:kern w:val="0"/>
          <w:sz w:val="36"/>
          <w:szCs w:val="36"/>
        </w:rPr>
        <w:t>》</w:t>
      </w:r>
      <w:proofErr w:type="gramEnd"/>
      <w:r w:rsidRPr="00882D53">
        <w:rPr>
          <w:rFonts w:asciiTheme="minorEastAsia" w:hAnsiTheme="minorEastAsia" w:cs="宋体" w:hint="eastAsia"/>
          <w:b/>
          <w:color w:val="000000"/>
          <w:kern w:val="0"/>
          <w:sz w:val="36"/>
          <w:szCs w:val="36"/>
        </w:rPr>
        <w:t>的通知</w:t>
      </w:r>
    </w:p>
    <w:p w:rsidR="00912EB6" w:rsidRPr="00882D53" w:rsidRDefault="00912EB6" w:rsidP="00912EB6">
      <w:pPr>
        <w:widowControl/>
        <w:shd w:val="clear" w:color="auto" w:fill="FFFFFF"/>
        <w:tabs>
          <w:tab w:val="left" w:pos="8690"/>
        </w:tabs>
        <w:snapToGrid w:val="0"/>
        <w:spacing w:before="100" w:beforeAutospacing="1" w:after="100" w:afterAutospacing="1" w:line="360" w:lineRule="auto"/>
        <w:ind w:firstLine="3"/>
        <w:jc w:val="center"/>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 </w:t>
      </w:r>
    </w:p>
    <w:p w:rsidR="00912EB6" w:rsidRPr="00882D53" w:rsidRDefault="00912EB6" w:rsidP="00912EB6">
      <w:pPr>
        <w:widowControl/>
        <w:shd w:val="clear" w:color="auto" w:fill="FFFFFF"/>
        <w:tabs>
          <w:tab w:val="left" w:pos="8690"/>
        </w:tabs>
        <w:snapToGrid w:val="0"/>
        <w:spacing w:before="100" w:beforeAutospacing="1" w:after="100" w:afterAutospacing="1" w:line="360" w:lineRule="auto"/>
        <w:ind w:firstLine="3"/>
        <w:jc w:val="center"/>
        <w:rPr>
          <w:rFonts w:asciiTheme="minorEastAsia" w:hAnsiTheme="minorEastAsia" w:cs="宋体"/>
          <w:color w:val="000000"/>
          <w:kern w:val="0"/>
          <w:szCs w:val="21"/>
        </w:rPr>
      </w:pPr>
      <w:proofErr w:type="gramStart"/>
      <w:r w:rsidRPr="00882D53">
        <w:rPr>
          <w:rFonts w:asciiTheme="minorEastAsia" w:hAnsiTheme="minorEastAsia" w:cs="宋体" w:hint="eastAsia"/>
          <w:color w:val="000000"/>
          <w:kern w:val="0"/>
          <w:szCs w:val="21"/>
        </w:rPr>
        <w:t>渝</w:t>
      </w:r>
      <w:proofErr w:type="gramEnd"/>
      <w:r w:rsidRPr="00882D53">
        <w:rPr>
          <w:rFonts w:asciiTheme="minorEastAsia" w:hAnsiTheme="minorEastAsia" w:cs="宋体" w:hint="eastAsia"/>
          <w:color w:val="000000"/>
          <w:kern w:val="0"/>
          <w:szCs w:val="21"/>
        </w:rPr>
        <w:t>国土</w:t>
      </w:r>
      <w:proofErr w:type="gramStart"/>
      <w:r w:rsidRPr="00882D53">
        <w:rPr>
          <w:rFonts w:asciiTheme="minorEastAsia" w:hAnsiTheme="minorEastAsia" w:cs="宋体" w:hint="eastAsia"/>
          <w:color w:val="000000"/>
          <w:kern w:val="0"/>
          <w:szCs w:val="21"/>
        </w:rPr>
        <w:t>房管发</w:t>
      </w:r>
      <w:proofErr w:type="gramEnd"/>
      <w:r w:rsidRPr="00882D53">
        <w:rPr>
          <w:rFonts w:asciiTheme="minorEastAsia" w:hAnsiTheme="minorEastAsia" w:cs="宋体" w:hint="eastAsia"/>
          <w:color w:val="000000"/>
          <w:kern w:val="0"/>
          <w:szCs w:val="21"/>
        </w:rPr>
        <w:t>〔2011〕172号</w:t>
      </w:r>
    </w:p>
    <w:p w:rsidR="00912EB6" w:rsidRPr="00882D53" w:rsidRDefault="00912EB6" w:rsidP="00912EB6">
      <w:pPr>
        <w:widowControl/>
        <w:shd w:val="clear" w:color="auto" w:fill="FFFFFF"/>
        <w:snapToGrid w:val="0"/>
        <w:spacing w:before="100" w:beforeAutospacing="1" w:after="100" w:afterAutospacing="1" w:line="360" w:lineRule="auto"/>
        <w:ind w:firstLineChars="50" w:firstLine="120"/>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 </w:t>
      </w:r>
    </w:p>
    <w:p w:rsidR="00912EB6" w:rsidRPr="00882D53" w:rsidRDefault="00912EB6" w:rsidP="00912EB6">
      <w:pPr>
        <w:widowControl/>
        <w:shd w:val="clear" w:color="auto" w:fill="FFFFFF"/>
        <w:tabs>
          <w:tab w:val="center" w:pos="4157"/>
          <w:tab w:val="left" w:pos="4325"/>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各区县（自治县）房</w:t>
      </w:r>
      <w:r w:rsidRPr="00882D53">
        <w:rPr>
          <w:rFonts w:asciiTheme="minorEastAsia" w:hAnsiTheme="minorEastAsia" w:cs="宋体" w:hint="eastAsia"/>
          <w:snapToGrid w:val="0"/>
          <w:color w:val="000000"/>
          <w:kern w:val="0"/>
          <w:sz w:val="24"/>
          <w:szCs w:val="24"/>
        </w:rPr>
        <w:t>屋征收部门</w:t>
      </w:r>
      <w:r w:rsidRPr="00882D53">
        <w:rPr>
          <w:rFonts w:asciiTheme="minorEastAsia" w:hAnsiTheme="minorEastAsia" w:cs="宋体" w:hint="eastAsia"/>
          <w:color w:val="000000"/>
          <w:kern w:val="0"/>
          <w:sz w:val="24"/>
          <w:szCs w:val="24"/>
        </w:rPr>
        <w:t>、市国土资源房屋评估和经纪协会，各房地产评估机构：</w:t>
      </w:r>
    </w:p>
    <w:p w:rsidR="00912EB6" w:rsidRPr="00882D53" w:rsidRDefault="00912EB6" w:rsidP="00912EB6">
      <w:pPr>
        <w:widowControl/>
        <w:shd w:val="clear" w:color="auto" w:fill="FFFFFF"/>
        <w:snapToGrid w:val="0"/>
        <w:spacing w:before="100" w:beforeAutospacing="1" w:after="100" w:afterAutospacing="1" w:line="360" w:lineRule="auto"/>
        <w:ind w:right="253" w:firstLineChars="185" w:firstLine="444"/>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为规范国有土地上房屋征收评估工作，保证国有土地上房屋征收与补偿工作顺利进行，我局制定了</w:t>
      </w:r>
      <w:r w:rsidRPr="00882D53">
        <w:rPr>
          <w:rFonts w:asciiTheme="minorEastAsia" w:hAnsiTheme="minorEastAsia" w:cs="宋体" w:hint="eastAsia"/>
          <w:bCs/>
          <w:color w:val="000000"/>
          <w:kern w:val="0"/>
          <w:sz w:val="24"/>
          <w:szCs w:val="24"/>
        </w:rPr>
        <w:t>《</w:t>
      </w:r>
      <w:r w:rsidRPr="00882D53">
        <w:rPr>
          <w:rFonts w:asciiTheme="minorEastAsia" w:hAnsiTheme="minorEastAsia" w:cs="宋体" w:hint="eastAsia"/>
          <w:color w:val="000000"/>
          <w:kern w:val="0"/>
          <w:sz w:val="24"/>
          <w:szCs w:val="24"/>
        </w:rPr>
        <w:t>重庆市国有土地上房屋征收评估技术规范(试行)》，并经市政府法制办审查登记（</w:t>
      </w:r>
      <w:proofErr w:type="gramStart"/>
      <w:r w:rsidRPr="00882D53">
        <w:rPr>
          <w:rFonts w:asciiTheme="minorEastAsia" w:hAnsiTheme="minorEastAsia" w:cs="宋体" w:hint="eastAsia"/>
          <w:color w:val="000000"/>
          <w:kern w:val="0"/>
          <w:sz w:val="24"/>
          <w:szCs w:val="24"/>
        </w:rPr>
        <w:t>渝文审</w:t>
      </w:r>
      <w:proofErr w:type="gramEnd"/>
      <w:r w:rsidRPr="00882D53">
        <w:rPr>
          <w:rFonts w:asciiTheme="minorEastAsia" w:hAnsiTheme="minorEastAsia" w:cs="宋体" w:hint="eastAsia"/>
          <w:color w:val="000000"/>
          <w:kern w:val="0"/>
          <w:sz w:val="24"/>
          <w:szCs w:val="24"/>
        </w:rPr>
        <w:t>[2011]76号），现予以公布，自印发之日起施行。原《重庆市城市房屋拆迁评估技术规范（试行）》（渝国土</w:t>
      </w:r>
      <w:proofErr w:type="gramStart"/>
      <w:r w:rsidRPr="00882D53">
        <w:rPr>
          <w:rFonts w:asciiTheme="minorEastAsia" w:hAnsiTheme="minorEastAsia" w:cs="宋体" w:hint="eastAsia"/>
          <w:color w:val="000000"/>
          <w:kern w:val="0"/>
          <w:sz w:val="24"/>
          <w:szCs w:val="24"/>
        </w:rPr>
        <w:t>房管发</w:t>
      </w:r>
      <w:proofErr w:type="gramEnd"/>
      <w:r w:rsidRPr="00882D53">
        <w:rPr>
          <w:rFonts w:asciiTheme="minorEastAsia" w:hAnsiTheme="minorEastAsia" w:cs="宋体" w:hint="eastAsia"/>
          <w:color w:val="000000"/>
          <w:kern w:val="0"/>
          <w:sz w:val="24"/>
          <w:szCs w:val="24"/>
        </w:rPr>
        <w:t>[2004]574号）同时废止。</w:t>
      </w:r>
    </w:p>
    <w:p w:rsidR="00912EB6" w:rsidRPr="00882D53" w:rsidRDefault="00912EB6" w:rsidP="00912EB6">
      <w:pPr>
        <w:widowControl/>
        <w:shd w:val="clear" w:color="auto" w:fill="FFFFFF"/>
        <w:tabs>
          <w:tab w:val="center" w:pos="4157"/>
          <w:tab w:val="left" w:pos="4325"/>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 xml:space="preserve">    </w:t>
      </w:r>
      <w:r w:rsidRPr="00882D53">
        <w:rPr>
          <w:rFonts w:asciiTheme="minorEastAsia" w:hAnsiTheme="minorEastAsia" w:cs="宋体" w:hint="eastAsia"/>
          <w:color w:val="000000"/>
          <w:kern w:val="0"/>
          <w:sz w:val="24"/>
          <w:szCs w:val="24"/>
        </w:rPr>
        <w:t xml:space="preserve"> </w:t>
      </w:r>
    </w:p>
    <w:p w:rsidR="00912EB6" w:rsidRPr="00882D53" w:rsidRDefault="00912EB6" w:rsidP="00912EB6">
      <w:pPr>
        <w:widowControl/>
        <w:shd w:val="clear" w:color="auto" w:fill="FFFFFF"/>
        <w:snapToGrid w:val="0"/>
        <w:spacing w:before="100" w:beforeAutospacing="1" w:after="100" w:afterAutospacing="1" w:line="360" w:lineRule="auto"/>
        <w:ind w:right="890" w:firstLineChars="185" w:firstLine="444"/>
        <w:jc w:val="righ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 xml:space="preserve">                二○一一年九月二十六日</w:t>
      </w:r>
    </w:p>
    <w:p w:rsidR="00912EB6" w:rsidRPr="00882D53" w:rsidRDefault="00912EB6" w:rsidP="00912EB6">
      <w:pPr>
        <w:widowControl/>
        <w:shd w:val="clear" w:color="auto" w:fill="FFFFFF"/>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 </w:t>
      </w:r>
    </w:p>
    <w:p w:rsidR="00912EB6" w:rsidRPr="00882D53" w:rsidRDefault="00912EB6" w:rsidP="00912EB6">
      <w:pPr>
        <w:widowControl/>
        <w:shd w:val="clear" w:color="auto" w:fill="FFFFFF"/>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color w:val="000000"/>
          <w:kern w:val="0"/>
          <w:sz w:val="24"/>
          <w:szCs w:val="24"/>
        </w:rPr>
        <w:t> </w:t>
      </w:r>
    </w:p>
    <w:p w:rsidR="00912EB6" w:rsidRPr="00882D53" w:rsidRDefault="00912EB6" w:rsidP="00912EB6">
      <w:pPr>
        <w:widowControl/>
        <w:shd w:val="clear" w:color="auto" w:fill="FFFFFF"/>
        <w:snapToGrid w:val="0"/>
        <w:spacing w:before="100" w:beforeAutospacing="1" w:after="100" w:afterAutospacing="1" w:line="360" w:lineRule="auto"/>
        <w:jc w:val="center"/>
        <w:rPr>
          <w:rFonts w:asciiTheme="minorEastAsia" w:hAnsiTheme="minorEastAsia" w:cs="宋体"/>
          <w:b/>
          <w:color w:val="000000"/>
          <w:kern w:val="0"/>
          <w:sz w:val="36"/>
          <w:szCs w:val="36"/>
        </w:rPr>
      </w:pPr>
      <w:r w:rsidRPr="00882D53">
        <w:rPr>
          <w:rFonts w:asciiTheme="minorEastAsia" w:hAnsiTheme="minorEastAsia" w:cs="宋体" w:hint="eastAsia"/>
          <w:b/>
          <w:color w:val="000000"/>
          <w:kern w:val="0"/>
          <w:sz w:val="36"/>
          <w:szCs w:val="36"/>
        </w:rPr>
        <w:t>重庆市国有土地上房屋征收评估技术规范</w:t>
      </w:r>
    </w:p>
    <w:p w:rsidR="00912EB6" w:rsidRPr="00882D53" w:rsidRDefault="00912EB6" w:rsidP="00912EB6">
      <w:pPr>
        <w:widowControl/>
        <w:shd w:val="clear" w:color="auto" w:fill="FFFFFF"/>
        <w:snapToGrid w:val="0"/>
        <w:spacing w:before="100" w:beforeAutospacing="1" w:after="100" w:afterAutospacing="1" w:line="360" w:lineRule="auto"/>
        <w:jc w:val="center"/>
        <w:rPr>
          <w:rFonts w:asciiTheme="minorEastAsia" w:hAnsiTheme="minorEastAsia" w:cs="宋体"/>
          <w:b/>
          <w:color w:val="000000"/>
          <w:kern w:val="0"/>
          <w:sz w:val="36"/>
          <w:szCs w:val="36"/>
        </w:rPr>
      </w:pPr>
      <w:r w:rsidRPr="00882D53">
        <w:rPr>
          <w:rFonts w:asciiTheme="minorEastAsia" w:hAnsiTheme="minorEastAsia" w:cs="宋体" w:hint="eastAsia"/>
          <w:b/>
          <w:color w:val="000000"/>
          <w:kern w:val="0"/>
          <w:sz w:val="36"/>
          <w:szCs w:val="36"/>
        </w:rPr>
        <w:t>（试行）</w:t>
      </w:r>
    </w:p>
    <w:p w:rsidR="00912EB6" w:rsidRPr="00882D53" w:rsidRDefault="00912EB6" w:rsidP="00912EB6">
      <w:pPr>
        <w:widowControl/>
        <w:shd w:val="clear" w:color="auto" w:fill="FFFFFF"/>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color w:val="000000"/>
          <w:kern w:val="0"/>
          <w:sz w:val="24"/>
          <w:szCs w:val="24"/>
        </w:rPr>
        <w:lastRenderedPageBreak/>
        <w:t> </w:t>
      </w:r>
    </w:p>
    <w:p w:rsidR="00912EB6" w:rsidRPr="00882D53" w:rsidRDefault="00912EB6" w:rsidP="00912EB6">
      <w:pPr>
        <w:widowControl/>
        <w:shd w:val="clear" w:color="auto" w:fill="FFFFFF"/>
        <w:snapToGrid w:val="0"/>
        <w:spacing w:before="100" w:beforeAutospacing="1" w:after="100" w:afterAutospacing="1" w:line="360" w:lineRule="auto"/>
        <w:jc w:val="center"/>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第一章  总  则</w:t>
      </w:r>
    </w:p>
    <w:p w:rsidR="00912EB6" w:rsidRPr="00882D53" w:rsidRDefault="00912EB6" w:rsidP="00912EB6">
      <w:pPr>
        <w:widowControl/>
        <w:shd w:val="clear" w:color="auto" w:fill="FFFFFF"/>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b/>
          <w:bCs/>
          <w:color w:val="000000"/>
          <w:kern w:val="0"/>
          <w:sz w:val="24"/>
          <w:szCs w:val="24"/>
        </w:rPr>
        <w:t> </w:t>
      </w:r>
    </w:p>
    <w:p w:rsidR="00912EB6" w:rsidRPr="00882D53" w:rsidRDefault="00912EB6" w:rsidP="00912EB6">
      <w:pPr>
        <w:widowControl/>
        <w:shd w:val="clear" w:color="auto" w:fill="FFFFFF"/>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第一条</w:t>
      </w:r>
      <w:r w:rsidRPr="00882D53">
        <w:rPr>
          <w:rFonts w:asciiTheme="minorEastAsia" w:hAnsiTheme="minorEastAsia" w:cs="宋体" w:hint="eastAsia"/>
          <w:bCs/>
          <w:color w:val="000000"/>
          <w:kern w:val="0"/>
          <w:sz w:val="24"/>
          <w:szCs w:val="24"/>
        </w:rPr>
        <w:t xml:space="preserve"> </w:t>
      </w:r>
      <w:r w:rsidRPr="00882D53">
        <w:rPr>
          <w:rFonts w:asciiTheme="minorEastAsia" w:hAnsiTheme="minorEastAsia" w:cs="宋体" w:hint="eastAsia"/>
          <w:color w:val="000000"/>
          <w:kern w:val="0"/>
          <w:sz w:val="24"/>
          <w:szCs w:val="24"/>
        </w:rPr>
        <w:t>为规范我市国有土地上被征收房屋评估活动，保证房屋征收评估结果客观公平，根据《国有土地上房屋征收与补偿条例》（国务院令590号）、《国有土地上房屋征收评估办法》（建房〔2011〕77号）、《重庆市国有土地上房屋征收与补偿办法（暂行）》（</w:t>
      </w:r>
      <w:proofErr w:type="gramStart"/>
      <w:r w:rsidRPr="00882D53">
        <w:rPr>
          <w:rFonts w:asciiTheme="minorEastAsia" w:hAnsiTheme="minorEastAsia" w:cs="宋体" w:hint="eastAsia"/>
          <w:color w:val="000000"/>
          <w:kern w:val="0"/>
          <w:sz w:val="24"/>
          <w:szCs w:val="24"/>
        </w:rPr>
        <w:t>渝办发</w:t>
      </w:r>
      <w:proofErr w:type="gramEnd"/>
      <w:r w:rsidRPr="00882D53">
        <w:rPr>
          <w:rFonts w:asciiTheme="minorEastAsia" w:hAnsiTheme="minorEastAsia" w:cs="宋体" w:hint="eastAsia"/>
          <w:color w:val="000000"/>
          <w:kern w:val="0"/>
          <w:sz w:val="24"/>
          <w:szCs w:val="24"/>
        </w:rPr>
        <w:t>〔2011〕123号）、《房地产估价规范》（GB/T 50291―1999）、《城镇土地估价规程》（GB/T 18508―2001）等有关规定，结合本市实际，制定本技术规范。</w:t>
      </w:r>
    </w:p>
    <w:p w:rsidR="00912EB6" w:rsidRPr="00882D53" w:rsidRDefault="00912EB6" w:rsidP="00912EB6">
      <w:pPr>
        <w:widowControl/>
        <w:shd w:val="clear" w:color="auto" w:fill="FFFFFF"/>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 xml:space="preserve">第二条 </w:t>
      </w:r>
      <w:r w:rsidRPr="00882D53">
        <w:rPr>
          <w:rFonts w:asciiTheme="minorEastAsia" w:hAnsiTheme="minorEastAsia" w:cs="宋体" w:hint="eastAsia"/>
          <w:color w:val="000000"/>
          <w:kern w:val="0"/>
          <w:sz w:val="24"/>
          <w:szCs w:val="24"/>
        </w:rPr>
        <w:t>评估国有土地上被征收房屋和用于产权调换房屋的价值，测算被征收房屋和用于产权调换房屋类似房地产市场价格，以及对相关评估结果进行复核评估和鉴定，适用本技术规范。</w:t>
      </w:r>
    </w:p>
    <w:p w:rsidR="00912EB6" w:rsidRPr="00882D53" w:rsidRDefault="00912EB6" w:rsidP="00912EB6">
      <w:pPr>
        <w:widowControl/>
        <w:shd w:val="clear" w:color="auto" w:fill="FFFFFF"/>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 xml:space="preserve">第三条 </w:t>
      </w:r>
      <w:r w:rsidRPr="00882D53">
        <w:rPr>
          <w:rFonts w:asciiTheme="minorEastAsia" w:hAnsiTheme="minorEastAsia" w:cs="宋体" w:hint="eastAsia"/>
          <w:color w:val="000000"/>
          <w:kern w:val="0"/>
          <w:sz w:val="24"/>
          <w:szCs w:val="24"/>
        </w:rPr>
        <w:t>被征收房屋价值评估目的应当表述为“为房屋征收部门与被征收人确定被征收房屋价值的补偿提供依据，评估被征收房屋的价值”。</w:t>
      </w:r>
    </w:p>
    <w:p w:rsidR="00912EB6" w:rsidRPr="00882D53" w:rsidRDefault="00912EB6" w:rsidP="00912EB6">
      <w:pPr>
        <w:widowControl/>
        <w:shd w:val="clear" w:color="auto" w:fill="FFFFFF"/>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 xml:space="preserve">    用于产权调换房屋价值评估目的应当表述为“为征收部门与被征收人计算被征收房屋价值与用于产权调换房屋价值的差价提供依据，评估用于产权调换房屋的价值”。</w:t>
      </w:r>
    </w:p>
    <w:p w:rsidR="00912EB6" w:rsidRPr="00882D53" w:rsidRDefault="00912EB6" w:rsidP="00912EB6">
      <w:pPr>
        <w:widowControl/>
        <w:shd w:val="clear" w:color="auto" w:fill="FFFFFF"/>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第四条</w:t>
      </w:r>
      <w:r w:rsidRPr="00882D53">
        <w:rPr>
          <w:rFonts w:asciiTheme="minorEastAsia" w:hAnsiTheme="minorEastAsia" w:cs="宋体" w:hint="eastAsia"/>
          <w:color w:val="000000"/>
          <w:kern w:val="0"/>
          <w:sz w:val="24"/>
          <w:szCs w:val="24"/>
        </w:rPr>
        <w:t xml:space="preserve">  被征收房屋价值评估时点为房屋征收决定公告之日。</w:t>
      </w:r>
    </w:p>
    <w:p w:rsidR="00912EB6" w:rsidRPr="00882D53" w:rsidRDefault="00912EB6" w:rsidP="00912EB6">
      <w:pPr>
        <w:widowControl/>
        <w:shd w:val="clear" w:color="auto" w:fill="FFFFFF"/>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用于产权调换房屋价值评估时点应当与被征收房屋评估时点一致。</w:t>
      </w:r>
    </w:p>
    <w:p w:rsidR="00912EB6" w:rsidRPr="00882D53" w:rsidRDefault="00912EB6" w:rsidP="00912EB6">
      <w:pPr>
        <w:widowControl/>
        <w:shd w:val="clear" w:color="auto" w:fill="FFFFFF"/>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 xml:space="preserve">    </w:t>
      </w:r>
      <w:r w:rsidRPr="00882D53">
        <w:rPr>
          <w:rFonts w:asciiTheme="minorEastAsia" w:hAnsiTheme="minorEastAsia" w:cs="宋体" w:hint="eastAsia"/>
          <w:b/>
          <w:color w:val="000000"/>
          <w:kern w:val="0"/>
          <w:sz w:val="24"/>
          <w:szCs w:val="24"/>
        </w:rPr>
        <w:t>第五条</w:t>
      </w:r>
      <w:r w:rsidRPr="00882D53">
        <w:rPr>
          <w:rFonts w:asciiTheme="minorEastAsia" w:hAnsiTheme="minorEastAsia" w:cs="宋体" w:hint="eastAsia"/>
          <w:color w:val="000000"/>
          <w:kern w:val="0"/>
          <w:sz w:val="24"/>
          <w:szCs w:val="24"/>
        </w:rPr>
        <w:t xml:space="preserve">  被征收房屋价值是指被征收房屋及其占用范围内的土地使用权在正常交易情况下，由熟悉情况的交易双方以公平交易方式在评估时点自愿进行交易的金额，但不考虑被征收房屋租赁、抵押、查封等因素的影响。</w:t>
      </w:r>
    </w:p>
    <w:p w:rsidR="00912EB6" w:rsidRPr="00882D53" w:rsidRDefault="00912EB6" w:rsidP="00912EB6">
      <w:pPr>
        <w:widowControl/>
        <w:shd w:val="clear" w:color="auto" w:fill="FFFFFF"/>
        <w:snapToGrid w:val="0"/>
        <w:spacing w:before="100" w:beforeAutospacing="1" w:after="100" w:afterAutospacing="1" w:line="360" w:lineRule="auto"/>
        <w:ind w:firstLineChars="173" w:firstLine="417"/>
        <w:jc w:val="left"/>
        <w:rPr>
          <w:rFonts w:asciiTheme="minorEastAsia" w:hAnsiTheme="minorEastAsia" w:cs="宋体"/>
          <w:color w:val="000000"/>
          <w:kern w:val="0"/>
          <w:sz w:val="24"/>
          <w:szCs w:val="24"/>
        </w:rPr>
      </w:pPr>
      <w:r w:rsidRPr="00882D53">
        <w:rPr>
          <w:rFonts w:asciiTheme="minorEastAsia" w:hAnsiTheme="minorEastAsia" w:cs="宋体" w:hint="eastAsia"/>
          <w:b/>
          <w:color w:val="000000"/>
          <w:kern w:val="0"/>
          <w:sz w:val="24"/>
          <w:szCs w:val="24"/>
        </w:rPr>
        <w:lastRenderedPageBreak/>
        <w:t>第六条</w:t>
      </w:r>
      <w:r w:rsidRPr="00882D53">
        <w:rPr>
          <w:rFonts w:asciiTheme="minorEastAsia" w:hAnsiTheme="minorEastAsia" w:cs="宋体" w:hint="eastAsia"/>
          <w:color w:val="000000"/>
          <w:kern w:val="0"/>
          <w:sz w:val="24"/>
          <w:szCs w:val="24"/>
        </w:rPr>
        <w:t xml:space="preserve">  房屋征收部门应当向受托的房地产价格评估机构提供征收范围内房屋情况，包括已经登记的房屋情况和未经登记建筑的认定、处理结果情况。调查结果应当在房屋征收范围内向被征收人公布。</w:t>
      </w:r>
    </w:p>
    <w:p w:rsidR="00912EB6" w:rsidRPr="00882D53" w:rsidRDefault="00912EB6" w:rsidP="00912EB6">
      <w:pPr>
        <w:widowControl/>
        <w:shd w:val="clear" w:color="auto" w:fill="FFFFFF"/>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 xml:space="preserve">    对于已经登记的房屋，其性质、用途和建筑面积，一般以房屋权属证书和房屋登记簿的记载为准；房屋权属证书与房屋登记簿的记载不一致的，除有证据证明房屋登记簿确有错误外，以房屋登记簿为准。对于未经登记的建筑，应当按照市、县级人民政府的认定、处理结果进行评估。</w:t>
      </w:r>
    </w:p>
    <w:p w:rsidR="00912EB6" w:rsidRPr="00882D53" w:rsidRDefault="00912EB6" w:rsidP="00912EB6">
      <w:pPr>
        <w:widowControl/>
        <w:shd w:val="clear" w:color="auto" w:fill="FFFFFF"/>
        <w:snapToGrid w:val="0"/>
        <w:spacing w:before="100" w:beforeAutospacing="1" w:after="100" w:afterAutospacing="1" w:line="360" w:lineRule="auto"/>
        <w:ind w:firstLine="555"/>
        <w:jc w:val="left"/>
        <w:rPr>
          <w:rFonts w:asciiTheme="minorEastAsia" w:hAnsiTheme="minorEastAsia" w:cs="宋体"/>
          <w:color w:val="000000"/>
          <w:kern w:val="0"/>
          <w:sz w:val="24"/>
          <w:szCs w:val="24"/>
        </w:rPr>
      </w:pPr>
      <w:r w:rsidRPr="00882D53">
        <w:rPr>
          <w:rFonts w:asciiTheme="minorEastAsia" w:hAnsiTheme="minorEastAsia" w:cs="宋体" w:hint="eastAsia"/>
          <w:b/>
          <w:color w:val="000000"/>
          <w:kern w:val="0"/>
          <w:sz w:val="24"/>
          <w:szCs w:val="24"/>
        </w:rPr>
        <w:t>第七条</w:t>
      </w:r>
      <w:r w:rsidRPr="00882D53">
        <w:rPr>
          <w:rFonts w:asciiTheme="minorEastAsia" w:hAnsiTheme="minorEastAsia" w:cs="宋体" w:hint="eastAsia"/>
          <w:color w:val="000000"/>
          <w:kern w:val="0"/>
          <w:sz w:val="24"/>
          <w:szCs w:val="24"/>
        </w:rPr>
        <w:t xml:space="preserve">  房屋评估结果应当以人民币为计价单位，评估结果精确到元。</w:t>
      </w:r>
    </w:p>
    <w:p w:rsidR="00912EB6" w:rsidRPr="00882D53" w:rsidRDefault="00912EB6" w:rsidP="00912EB6">
      <w:pPr>
        <w:widowControl/>
        <w:shd w:val="clear" w:color="auto" w:fill="FFFFFF"/>
        <w:snapToGrid w:val="0"/>
        <w:spacing w:before="100" w:beforeAutospacing="1" w:after="100" w:afterAutospacing="1" w:line="360" w:lineRule="auto"/>
        <w:ind w:firstLine="555"/>
        <w:jc w:val="left"/>
        <w:rPr>
          <w:rFonts w:asciiTheme="minorEastAsia" w:hAnsiTheme="minorEastAsia" w:cs="宋体"/>
          <w:color w:val="000000"/>
          <w:kern w:val="0"/>
          <w:sz w:val="24"/>
          <w:szCs w:val="24"/>
        </w:rPr>
      </w:pPr>
      <w:r w:rsidRPr="00882D53">
        <w:rPr>
          <w:rFonts w:asciiTheme="minorEastAsia" w:hAnsiTheme="minorEastAsia" w:cs="宋体" w:hint="eastAsia"/>
          <w:b/>
          <w:color w:val="000000"/>
          <w:kern w:val="0"/>
          <w:sz w:val="24"/>
          <w:szCs w:val="24"/>
        </w:rPr>
        <w:t>第八条</w:t>
      </w:r>
      <w:r w:rsidRPr="00882D53">
        <w:rPr>
          <w:rFonts w:asciiTheme="minorEastAsia" w:hAnsiTheme="minorEastAsia" w:cs="宋体" w:hint="eastAsia"/>
          <w:color w:val="000000"/>
          <w:kern w:val="0"/>
          <w:sz w:val="24"/>
          <w:szCs w:val="24"/>
        </w:rPr>
        <w:t xml:space="preserve">  评估被征收房屋价值按以下程序进行：</w:t>
      </w:r>
    </w:p>
    <w:p w:rsidR="00912EB6" w:rsidRPr="00882D53" w:rsidRDefault="00912EB6" w:rsidP="00912EB6">
      <w:pPr>
        <w:widowControl/>
        <w:shd w:val="clear" w:color="auto" w:fill="FFFFFF"/>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 xml:space="preserve">    （一）现场查勘：评估机构评估人员应按户逐一查勘，不得遗漏，并按相应规定做好现场查勘记录；</w:t>
      </w:r>
    </w:p>
    <w:p w:rsidR="00912EB6" w:rsidRPr="00882D53" w:rsidRDefault="00912EB6" w:rsidP="00912EB6">
      <w:pPr>
        <w:widowControl/>
        <w:shd w:val="clear" w:color="auto" w:fill="FFFFFF"/>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 xml:space="preserve">    （二）测算类似房地产价格；</w:t>
      </w:r>
    </w:p>
    <w:p w:rsidR="00912EB6" w:rsidRPr="00882D53" w:rsidRDefault="00912EB6" w:rsidP="00912EB6">
      <w:pPr>
        <w:widowControl/>
        <w:shd w:val="clear" w:color="auto" w:fill="FFFFFF"/>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 xml:space="preserve">    （三）向委托方提供预评估价格；</w:t>
      </w:r>
    </w:p>
    <w:p w:rsidR="00912EB6" w:rsidRPr="00882D53" w:rsidRDefault="00912EB6" w:rsidP="00912EB6">
      <w:pPr>
        <w:widowControl/>
        <w:shd w:val="clear" w:color="auto" w:fill="FFFFFF"/>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 xml:space="preserve">    （四）评估被征收房屋的价值；</w:t>
      </w:r>
    </w:p>
    <w:p w:rsidR="00912EB6" w:rsidRPr="00882D53" w:rsidRDefault="00912EB6" w:rsidP="00912EB6">
      <w:pPr>
        <w:widowControl/>
        <w:shd w:val="clear" w:color="auto" w:fill="FFFFFF"/>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（五）出具分户评估初步结果；</w:t>
      </w:r>
    </w:p>
    <w:p w:rsidR="00912EB6" w:rsidRPr="00882D53" w:rsidRDefault="00912EB6" w:rsidP="00912EB6">
      <w:pPr>
        <w:widowControl/>
        <w:shd w:val="clear" w:color="auto" w:fill="FFFFFF"/>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（六）出具被征收房屋整体评估报告和分户评估报告；</w:t>
      </w:r>
    </w:p>
    <w:p w:rsidR="00912EB6" w:rsidRPr="00882D53" w:rsidRDefault="00912EB6" w:rsidP="00912EB6">
      <w:pPr>
        <w:widowControl/>
        <w:shd w:val="clear" w:color="auto" w:fill="FFFFFF"/>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（七）归档。</w:t>
      </w:r>
    </w:p>
    <w:p w:rsidR="00912EB6" w:rsidRPr="00882D53" w:rsidRDefault="00912EB6" w:rsidP="00912EB6">
      <w:pPr>
        <w:widowControl/>
        <w:shd w:val="clear" w:color="auto" w:fill="FFFFFF"/>
        <w:snapToGrid w:val="0"/>
        <w:spacing w:before="100" w:beforeAutospacing="1" w:after="100" w:afterAutospacing="1" w:line="360" w:lineRule="auto"/>
        <w:jc w:val="center"/>
        <w:rPr>
          <w:rFonts w:asciiTheme="minorEastAsia" w:hAnsiTheme="minorEastAsia" w:cs="宋体"/>
          <w:color w:val="000000"/>
          <w:kern w:val="0"/>
          <w:sz w:val="24"/>
          <w:szCs w:val="24"/>
        </w:rPr>
      </w:pPr>
      <w:r w:rsidRPr="00882D53">
        <w:rPr>
          <w:rFonts w:asciiTheme="minorEastAsia" w:hAnsiTheme="minorEastAsia" w:cs="宋体"/>
          <w:color w:val="000000"/>
          <w:kern w:val="0"/>
          <w:sz w:val="24"/>
          <w:szCs w:val="24"/>
        </w:rPr>
        <w:t> </w:t>
      </w:r>
    </w:p>
    <w:p w:rsidR="00912EB6" w:rsidRPr="00882D53" w:rsidRDefault="00912EB6" w:rsidP="00912EB6">
      <w:pPr>
        <w:widowControl/>
        <w:shd w:val="clear" w:color="auto" w:fill="FFFFFF"/>
        <w:snapToGrid w:val="0"/>
        <w:spacing w:before="100" w:beforeAutospacing="1" w:after="100" w:afterAutospacing="1" w:line="360" w:lineRule="auto"/>
        <w:jc w:val="center"/>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第二章  测算类似房地产价格</w:t>
      </w:r>
    </w:p>
    <w:p w:rsidR="00912EB6" w:rsidRPr="00882D53" w:rsidRDefault="00912EB6" w:rsidP="00912EB6">
      <w:pPr>
        <w:widowControl/>
        <w:shd w:val="clear" w:color="auto" w:fill="FFFFFF"/>
        <w:snapToGrid w:val="0"/>
        <w:spacing w:before="100" w:beforeAutospacing="1" w:after="100" w:afterAutospacing="1" w:line="360" w:lineRule="auto"/>
        <w:jc w:val="center"/>
        <w:rPr>
          <w:rFonts w:asciiTheme="minorEastAsia" w:hAnsiTheme="minorEastAsia" w:cs="宋体"/>
          <w:color w:val="000000"/>
          <w:kern w:val="0"/>
          <w:sz w:val="24"/>
          <w:szCs w:val="24"/>
        </w:rPr>
      </w:pPr>
      <w:r w:rsidRPr="00882D53">
        <w:rPr>
          <w:rFonts w:asciiTheme="minorEastAsia" w:hAnsiTheme="minorEastAsia" w:cs="宋体"/>
          <w:b/>
          <w:bCs/>
          <w:color w:val="000000"/>
          <w:kern w:val="0"/>
          <w:sz w:val="24"/>
          <w:szCs w:val="24"/>
        </w:rPr>
        <w:t> </w:t>
      </w:r>
    </w:p>
    <w:p w:rsidR="00912EB6" w:rsidRPr="00882D53" w:rsidRDefault="00912EB6" w:rsidP="00912EB6">
      <w:pPr>
        <w:widowControl/>
        <w:shd w:val="clear" w:color="auto" w:fill="FFFFFF"/>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lastRenderedPageBreak/>
        <w:t xml:space="preserve">第九条 </w:t>
      </w:r>
      <w:r w:rsidRPr="00882D53">
        <w:rPr>
          <w:rFonts w:asciiTheme="minorEastAsia" w:hAnsiTheme="minorEastAsia" w:cs="宋体" w:hint="eastAsia"/>
          <w:color w:val="000000"/>
          <w:kern w:val="0"/>
          <w:sz w:val="24"/>
          <w:szCs w:val="24"/>
        </w:rPr>
        <w:t xml:space="preserve">  被征收房屋的类似房地产是指与被征收房屋的区位、用途、权利性质、档次、新旧程度、规模、建筑结构等相同或相似的房地产。</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被征收房屋类似房地产的市场价格是指被征收房屋的类似房地产在评估时点的平均交易价格。确定被征收房屋类似房地产的市场价格，应当剔除偶然的和不正常的因素。</w:t>
      </w:r>
    </w:p>
    <w:p w:rsidR="00912EB6" w:rsidRPr="00882D53" w:rsidRDefault="00912EB6" w:rsidP="00912EB6">
      <w:pPr>
        <w:widowControl/>
        <w:shd w:val="clear" w:color="auto" w:fill="FFFFFF"/>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 xml:space="preserve">     </w:t>
      </w:r>
      <w:r w:rsidRPr="00882D53">
        <w:rPr>
          <w:rFonts w:asciiTheme="minorEastAsia" w:hAnsiTheme="minorEastAsia" w:cs="宋体" w:hint="eastAsia"/>
          <w:b/>
          <w:bCs/>
          <w:color w:val="000000"/>
          <w:kern w:val="0"/>
          <w:sz w:val="24"/>
          <w:szCs w:val="24"/>
        </w:rPr>
        <w:t xml:space="preserve">第十条 </w:t>
      </w:r>
      <w:r w:rsidRPr="00882D53">
        <w:rPr>
          <w:rFonts w:asciiTheme="minorEastAsia" w:hAnsiTheme="minorEastAsia" w:cs="宋体" w:hint="eastAsia"/>
          <w:color w:val="000000"/>
          <w:kern w:val="0"/>
          <w:sz w:val="24"/>
          <w:szCs w:val="24"/>
        </w:rPr>
        <w:t>类似房地产价格评估测算程序</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（一）根据现场查勘情况，划分区段，选取或设定类似房地产；</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（二）选用合适的估价方法；</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（三）根据选用的估价方法，进行评估测算；</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（四）综合确定评估测算结果。</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 xml:space="preserve">第十一条 </w:t>
      </w:r>
      <w:r w:rsidRPr="00882D53">
        <w:rPr>
          <w:rFonts w:asciiTheme="minorEastAsia" w:hAnsiTheme="minorEastAsia" w:cs="宋体" w:hint="eastAsia"/>
          <w:color w:val="000000"/>
          <w:kern w:val="0"/>
          <w:sz w:val="24"/>
          <w:szCs w:val="24"/>
        </w:rPr>
        <w:t>选取或设定分类类似房地产应考虑的因素</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（一）住宅类：</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 xml:space="preserve">    结构：钢、钢混及砖混、砖木、简易；</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室内装修标准：简装（室内抹灰，水泥地面）、清水；</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配套设施：水、电、气、通讯等；</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成套、非成套（共用厨房、卫生间或厨房、卫生间独立于室外）；</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建成年代、面积；</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土地权利性质：出让或划拨；</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其他。</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（二）非住宅类：</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lastRenderedPageBreak/>
        <w:t>用途：商业、办公、工业、旅馆等；</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结构：钢、钢</w:t>
      </w:r>
      <w:proofErr w:type="gramStart"/>
      <w:r w:rsidRPr="00882D53">
        <w:rPr>
          <w:rFonts w:asciiTheme="minorEastAsia" w:hAnsiTheme="minorEastAsia" w:cs="宋体" w:hint="eastAsia"/>
          <w:color w:val="000000"/>
          <w:kern w:val="0"/>
          <w:sz w:val="24"/>
          <w:szCs w:val="24"/>
        </w:rPr>
        <w:t>混及砖</w:t>
      </w:r>
      <w:proofErr w:type="gramEnd"/>
      <w:r w:rsidRPr="00882D53">
        <w:rPr>
          <w:rFonts w:asciiTheme="minorEastAsia" w:hAnsiTheme="minorEastAsia" w:cs="宋体" w:hint="eastAsia"/>
          <w:color w:val="000000"/>
          <w:kern w:val="0"/>
          <w:sz w:val="24"/>
          <w:szCs w:val="24"/>
        </w:rPr>
        <w:t>混、砖木、简易；</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装修标准：简装（室内抹灰，水泥地面）、清水；</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层高；</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配套设施：水、电、气、通讯等；</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建成年代、面积；</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土地权利性质：出让或划拨 ；</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其他。</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 xml:space="preserve">第十二条 </w:t>
      </w:r>
      <w:r w:rsidRPr="00882D53">
        <w:rPr>
          <w:rFonts w:asciiTheme="minorEastAsia" w:hAnsiTheme="minorEastAsia" w:cs="宋体" w:hint="eastAsia"/>
          <w:color w:val="000000"/>
          <w:kern w:val="0"/>
          <w:sz w:val="24"/>
          <w:szCs w:val="24"/>
        </w:rPr>
        <w:t>一般情况下，在同一征收区域内应根据被征收房屋的类别分别选取或设定、评估测算相应类似房地产价格。</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如果片区较大，且区位差别较大，可先对征收片区进行区段划分，分别测算各区段的类似房地产价格。</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 xml:space="preserve">第十三条  </w:t>
      </w:r>
      <w:r w:rsidRPr="00882D53">
        <w:rPr>
          <w:rFonts w:asciiTheme="minorEastAsia" w:hAnsiTheme="minorEastAsia" w:cs="宋体" w:hint="eastAsia"/>
          <w:color w:val="000000"/>
          <w:kern w:val="0"/>
          <w:sz w:val="24"/>
          <w:szCs w:val="24"/>
        </w:rPr>
        <w:t>类似房地产交易价格评估方法：</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被征收房屋类似房地产有交易的，应当选用市场比较法评估；类似房地产有经济收益的，应当选用收益法评估。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不宜采用市场比较法和收益法的，可采用其它评估方法。</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 xml:space="preserve">第十四条  </w:t>
      </w:r>
      <w:r w:rsidRPr="00882D53">
        <w:rPr>
          <w:rFonts w:asciiTheme="minorEastAsia" w:hAnsiTheme="minorEastAsia" w:cs="宋体" w:hint="eastAsia"/>
          <w:color w:val="000000"/>
          <w:kern w:val="0"/>
          <w:sz w:val="24"/>
          <w:szCs w:val="24"/>
        </w:rPr>
        <w:t>采用市场比较法评估的：</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（一）可比案例的选取：可选新近成交的（距评估时点一年以内）类似房地产，也可选择类似地区新近成交的（距评估时点一年以内）新建商品房。</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选择类似地区新近成交（距评估时点一年以内）的新建商品房的，选择的可比案例楼层应与被征收房屋楼层相对应。</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lastRenderedPageBreak/>
        <w:t>（二）区位修正内容：繁华程度、交通便捷度、环境、景观、公共配套设施、城市规划限制等。</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（三）个别因素修正内容：新旧程度、设施设备、平面布置、建筑结构、工程质量、装修、层高、土地使用权性质等。</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（四）单项修正对可比实例成交价格的调整不得超过20%，综合调整不得超过30%。</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第十五条</w:t>
      </w:r>
      <w:r w:rsidRPr="00882D53">
        <w:rPr>
          <w:rFonts w:asciiTheme="minorEastAsia" w:hAnsiTheme="minorEastAsia" w:cs="宋体" w:hint="eastAsia"/>
          <w:color w:val="000000"/>
          <w:kern w:val="0"/>
          <w:sz w:val="24"/>
          <w:szCs w:val="24"/>
        </w:rPr>
        <w:t xml:space="preserve">  选用收益法评估的：</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选用收益法评估的,应先行评估与被征收房屋区位相近、用途或功能相同的新房价格，同时在报告中注明新房价格内涵，然后根据本技术规范确定类似房地产的市场价格。</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类似房地产价格=新房价格×（1±各项调整因素）</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第十六条</w:t>
      </w:r>
      <w:r w:rsidRPr="00882D53">
        <w:rPr>
          <w:rFonts w:asciiTheme="minorEastAsia" w:hAnsiTheme="minorEastAsia" w:cs="宋体" w:hint="eastAsia"/>
          <w:color w:val="000000"/>
          <w:kern w:val="0"/>
          <w:sz w:val="24"/>
          <w:szCs w:val="24"/>
        </w:rPr>
        <w:t xml:space="preserve">  选用成本法评估的</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不能选用比较法或收益法的，可用成本法评估，但须说明理由。</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采用成本法评估应采用房地分别评估、综合计价的原则,应先行评估与被征收房屋区位相近、用途或功能相同的新房价格，同时在报告中注明新房价格内涵。然后根据本技术规范测算类似房地产价格。</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（一）土地部分评估：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评估过程应符合《土地估价规程》的规定。</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（二）建筑物部分：</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类似房地产价格=新房价格×（1±各项调整因素）</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lastRenderedPageBreak/>
        <w:t xml:space="preserve">第十七条 </w:t>
      </w:r>
      <w:r w:rsidRPr="00882D53">
        <w:rPr>
          <w:rFonts w:asciiTheme="minorEastAsia" w:hAnsiTheme="minorEastAsia" w:cs="宋体" w:hint="eastAsia"/>
          <w:color w:val="000000"/>
          <w:kern w:val="0"/>
          <w:sz w:val="24"/>
          <w:szCs w:val="24"/>
        </w:rPr>
        <w:t>可以同时选用两种以上评估方法评估的，应当选用两种以上评估方法评估，并对各种评估方法的测算结果进行校核和比较分析后，合理确定测算结果。</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center"/>
        <w:rPr>
          <w:rFonts w:asciiTheme="minorEastAsia" w:hAnsiTheme="minorEastAsia" w:cs="宋体"/>
          <w:color w:val="000000"/>
          <w:kern w:val="0"/>
          <w:sz w:val="24"/>
          <w:szCs w:val="24"/>
        </w:rPr>
      </w:pPr>
      <w:r w:rsidRPr="00882D53">
        <w:rPr>
          <w:rFonts w:asciiTheme="minorEastAsia" w:hAnsiTheme="minorEastAsia" w:cs="宋体"/>
          <w:color w:val="000000"/>
          <w:kern w:val="0"/>
          <w:sz w:val="24"/>
          <w:szCs w:val="24"/>
        </w:rPr>
        <w:t> </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center"/>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第三章  被征收房屋价值评估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color w:val="000000"/>
          <w:kern w:val="0"/>
          <w:sz w:val="24"/>
          <w:szCs w:val="24"/>
        </w:rPr>
        <w:t> </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 xml:space="preserve">第十八条 </w:t>
      </w:r>
      <w:r w:rsidRPr="00882D53">
        <w:rPr>
          <w:rFonts w:asciiTheme="minorEastAsia" w:hAnsiTheme="minorEastAsia" w:cs="宋体" w:hint="eastAsia"/>
          <w:color w:val="000000"/>
          <w:kern w:val="0"/>
          <w:sz w:val="24"/>
          <w:szCs w:val="24"/>
        </w:rPr>
        <w:t>明确估价对象估价范围，即房屋及占用范围内土地使用权等。</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被征收建筑物及其占用范围内土地使用权的价值应当一并评估。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被征收房屋室内装饰装修的价值和</w:t>
      </w:r>
      <w:proofErr w:type="gramStart"/>
      <w:r w:rsidRPr="00882D53">
        <w:rPr>
          <w:rFonts w:asciiTheme="minorEastAsia" w:hAnsiTheme="minorEastAsia" w:cs="宋体" w:hint="eastAsia"/>
          <w:color w:val="000000"/>
          <w:kern w:val="0"/>
          <w:sz w:val="24"/>
          <w:szCs w:val="24"/>
        </w:rPr>
        <w:t>构附着物</w:t>
      </w:r>
      <w:proofErr w:type="gramEnd"/>
      <w:r w:rsidRPr="00882D53">
        <w:rPr>
          <w:rFonts w:asciiTheme="minorEastAsia" w:hAnsiTheme="minorEastAsia" w:cs="宋体" w:hint="eastAsia"/>
          <w:color w:val="000000"/>
          <w:kern w:val="0"/>
          <w:sz w:val="24"/>
          <w:szCs w:val="24"/>
        </w:rPr>
        <w:t>、机器设备等委托评估的，其价值应当与被征收房屋主体的价值分别评估。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第十九条</w:t>
      </w:r>
      <w:r w:rsidRPr="00882D53">
        <w:rPr>
          <w:rFonts w:asciiTheme="minorEastAsia" w:hAnsiTheme="minorEastAsia" w:cs="宋体" w:hint="eastAsia"/>
          <w:color w:val="000000"/>
          <w:kern w:val="0"/>
          <w:sz w:val="24"/>
          <w:szCs w:val="24"/>
        </w:rPr>
        <w:t xml:space="preserve">  被征收房屋价值应根据估价对象和当地房地产市场状况，确定合适的评估方法进行评估。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（一）被征收房屋的类似房地产有交易的，应选用市场比较法评估。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1、可比案例的选取：可选新近成交的（距评估时点一年以内）类似房地产，也可选择类似地区新近成交的（距评估时点一年以内）新建商品房。</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选择类似地区新近成交（距评估时点一年以内）的新建商品房的，选择的可比案例楼层应与被征收房屋楼层相对应。</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2、区位修正内容：繁华程度、交通便捷度、环境、景观、公共配套设施、城市规划限制等。</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3、个别因素修正内容：新旧程度、设施设备、平面布置、建筑结构、工程质量、装修、层高、土地使用权性质等。</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lastRenderedPageBreak/>
        <w:t>4、单项修正对可比实例成交价格的调整不得超过20%；综合调整不得超过30%。</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（二）被征收房屋或其类似房地产有租金或者经营收入的，应选用收益法评估。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选用收益法评估的,应先行评估与被征收房屋区位相近、用途或功能相同的新房价格，同时在报告中注明新房价格内涵。然后根据本技术规范评估被征收房屋价值。</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被征收房屋价值=新房价格×（1±各项调整因素）</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（三）不能选用比较法或收益法的，可用成本法评估，但须说明理由。</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采用成本法评估师应采用房地分别评估、综合计价的原则,应先行评估与被征收房屋区位相近、用途或功能相同的新房价格，同时在报告中注明新房价格内涵。然后根据本技术规范测算类似房地产市场价格。</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1、土地部分评估：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评估过程应符合《土地估价规程》的规定。</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2、建筑物部分：</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被征收房屋价值=新房价格×（1±各项调整因素）</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可以同时选用两种以上评估方法评估的，应当选用两种以上评估方法评估，并对各种评估方法的评估结果进行校核和比较分析后，合理确定评估结果。</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 xml:space="preserve">第二十条  </w:t>
      </w:r>
      <w:r w:rsidRPr="00882D53">
        <w:rPr>
          <w:rFonts w:asciiTheme="minorEastAsia" w:hAnsiTheme="minorEastAsia" w:cs="宋体" w:hint="eastAsia"/>
          <w:color w:val="000000"/>
          <w:kern w:val="0"/>
          <w:sz w:val="24"/>
          <w:szCs w:val="24"/>
        </w:rPr>
        <w:t>被征收房屋评估价低于测算的类似房地产市场价格的，被征收房屋评估价为测算的类似房地产市场价格。</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 xml:space="preserve">第二十一条 </w:t>
      </w:r>
      <w:r w:rsidRPr="00882D53">
        <w:rPr>
          <w:rFonts w:asciiTheme="minorEastAsia" w:hAnsiTheme="minorEastAsia" w:cs="宋体" w:hint="eastAsia"/>
          <w:color w:val="000000"/>
          <w:kern w:val="0"/>
          <w:sz w:val="24"/>
          <w:szCs w:val="24"/>
        </w:rPr>
        <w:t>预评估价格可按上述评估程序和方法，分别评估不同类型、结构、年代的类似房地产价格</w:t>
      </w:r>
      <w:proofErr w:type="gramStart"/>
      <w:r w:rsidRPr="00882D53">
        <w:rPr>
          <w:rFonts w:asciiTheme="minorEastAsia" w:hAnsiTheme="minorEastAsia" w:cs="宋体" w:hint="eastAsia"/>
          <w:color w:val="000000"/>
          <w:kern w:val="0"/>
          <w:sz w:val="24"/>
          <w:szCs w:val="24"/>
        </w:rPr>
        <w:t>供委托</w:t>
      </w:r>
      <w:proofErr w:type="gramEnd"/>
      <w:r w:rsidRPr="00882D53">
        <w:rPr>
          <w:rFonts w:asciiTheme="minorEastAsia" w:hAnsiTheme="minorEastAsia" w:cs="宋体" w:hint="eastAsia"/>
          <w:color w:val="000000"/>
          <w:kern w:val="0"/>
          <w:sz w:val="24"/>
          <w:szCs w:val="24"/>
        </w:rPr>
        <w:t>方在</w:t>
      </w:r>
      <w:proofErr w:type="gramStart"/>
      <w:r w:rsidRPr="00882D53">
        <w:rPr>
          <w:rFonts w:asciiTheme="minorEastAsia" w:hAnsiTheme="minorEastAsia" w:cs="宋体" w:hint="eastAsia"/>
          <w:color w:val="000000"/>
          <w:kern w:val="0"/>
          <w:sz w:val="24"/>
          <w:szCs w:val="24"/>
        </w:rPr>
        <w:t>作出</w:t>
      </w:r>
      <w:proofErr w:type="gramEnd"/>
      <w:r w:rsidRPr="00882D53">
        <w:rPr>
          <w:rFonts w:asciiTheme="minorEastAsia" w:hAnsiTheme="minorEastAsia" w:cs="宋体" w:hint="eastAsia"/>
          <w:color w:val="000000"/>
          <w:kern w:val="0"/>
          <w:sz w:val="24"/>
          <w:szCs w:val="24"/>
        </w:rPr>
        <w:t>征收决定前公示使用。</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color w:val="000000"/>
          <w:kern w:val="0"/>
          <w:sz w:val="24"/>
          <w:szCs w:val="24"/>
        </w:rPr>
        <w:lastRenderedPageBreak/>
        <w:t> </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center"/>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第四章  其他</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b/>
          <w:bCs/>
          <w:color w:val="000000"/>
          <w:kern w:val="0"/>
          <w:sz w:val="24"/>
          <w:szCs w:val="24"/>
        </w:rPr>
        <w:t> </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第二十二条</w:t>
      </w:r>
      <w:r w:rsidRPr="00882D53">
        <w:rPr>
          <w:rFonts w:asciiTheme="minorEastAsia" w:hAnsiTheme="minorEastAsia" w:cs="宋体" w:hint="eastAsia"/>
          <w:color w:val="000000"/>
          <w:kern w:val="0"/>
          <w:sz w:val="24"/>
          <w:szCs w:val="24"/>
        </w:rPr>
        <w:t xml:space="preserve">  被征收房屋室内装饰装修、构筑物等委托评估的，可与被征收房屋评估报告一并出具，也可单独出具。征收房屋评估报告格式应符合《房地产估价规范》的要求。</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第二十三条</w:t>
      </w:r>
      <w:r w:rsidRPr="00882D53">
        <w:rPr>
          <w:rFonts w:asciiTheme="minorEastAsia" w:hAnsiTheme="minorEastAsia" w:cs="宋体" w:hint="eastAsia"/>
          <w:color w:val="000000"/>
          <w:kern w:val="0"/>
          <w:sz w:val="24"/>
          <w:szCs w:val="24"/>
        </w:rPr>
        <w:t xml:space="preserve">  被征收房屋价值评估报告分为整体评估报告和分户评估报告，整体评估报告和分户评估报告均由评估结果报告和技术报告组成，评估机构只向委托方提供评估结果报告。</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整体评估报告中应有选取或设定的“类似房地产”状况和其价格的具体测算过程、分户房屋评估价值应有各项因素修正结果列示。</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 xml:space="preserve">第二十四条 </w:t>
      </w:r>
      <w:r w:rsidRPr="00882D53">
        <w:rPr>
          <w:rFonts w:asciiTheme="minorEastAsia" w:hAnsiTheme="minorEastAsia" w:cs="宋体" w:hint="eastAsia"/>
          <w:color w:val="000000"/>
          <w:kern w:val="0"/>
          <w:sz w:val="24"/>
          <w:szCs w:val="24"/>
        </w:rPr>
        <w:t>在建工程应首选假设开发法进行评估。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第二十五条</w:t>
      </w:r>
      <w:r w:rsidRPr="00882D53">
        <w:rPr>
          <w:rFonts w:asciiTheme="minorEastAsia" w:hAnsiTheme="minorEastAsia" w:cs="宋体" w:hint="eastAsia"/>
          <w:color w:val="000000"/>
          <w:kern w:val="0"/>
          <w:sz w:val="24"/>
          <w:szCs w:val="24"/>
        </w:rPr>
        <w:t xml:space="preserve">  机器设备评估，评估机构应具备相应的资质。</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 xml:space="preserve">第二十六条  </w:t>
      </w:r>
      <w:r w:rsidRPr="00882D53">
        <w:rPr>
          <w:rFonts w:asciiTheme="minorEastAsia" w:hAnsiTheme="minorEastAsia" w:cs="宋体" w:hint="eastAsia"/>
          <w:color w:val="000000"/>
          <w:kern w:val="0"/>
          <w:sz w:val="24"/>
          <w:szCs w:val="24"/>
        </w:rPr>
        <w:t>房屋产权调换价值的</w:t>
      </w:r>
      <w:proofErr w:type="gramStart"/>
      <w:r w:rsidRPr="00882D53">
        <w:rPr>
          <w:rFonts w:asciiTheme="minorEastAsia" w:hAnsiTheme="minorEastAsia" w:cs="宋体" w:hint="eastAsia"/>
          <w:color w:val="000000"/>
          <w:kern w:val="0"/>
          <w:sz w:val="24"/>
          <w:szCs w:val="24"/>
        </w:rPr>
        <w:t>评估按</w:t>
      </w:r>
      <w:proofErr w:type="gramEnd"/>
      <w:r w:rsidRPr="00882D53">
        <w:rPr>
          <w:rFonts w:asciiTheme="minorEastAsia" w:hAnsiTheme="minorEastAsia" w:cs="宋体" w:hint="eastAsia"/>
          <w:color w:val="000000"/>
          <w:kern w:val="0"/>
          <w:sz w:val="24"/>
          <w:szCs w:val="24"/>
        </w:rPr>
        <w:t>本技术规范执行。</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第二十七条</w:t>
      </w:r>
      <w:r w:rsidRPr="00882D53">
        <w:rPr>
          <w:rFonts w:asciiTheme="minorEastAsia" w:hAnsiTheme="minorEastAsia" w:cs="宋体" w:hint="eastAsia"/>
          <w:color w:val="000000"/>
          <w:kern w:val="0"/>
          <w:sz w:val="24"/>
          <w:szCs w:val="24"/>
        </w:rPr>
        <w:t xml:space="preserve">  被征收房屋室内装饰、装修、构筑物等的评估应由房屋征收双方先协商，协商不成的应当委托评估。此类评估首选成本法评估。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装修可使用年限自装修竣工起一般为10年，每年折旧率为10%。</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涉及工程造价、机器设备等专业技术的</w:t>
      </w:r>
      <w:r w:rsidRPr="00882D53">
        <w:rPr>
          <w:rFonts w:asciiTheme="minorEastAsia" w:hAnsiTheme="minorEastAsia" w:cs="宋体" w:hint="eastAsia"/>
          <w:b/>
          <w:bCs/>
          <w:color w:val="000000"/>
          <w:kern w:val="0"/>
          <w:sz w:val="24"/>
          <w:szCs w:val="24"/>
        </w:rPr>
        <w:t>评估工作应按相关技术规范评估。</w:t>
      </w:r>
      <w:r w:rsidRPr="00882D53">
        <w:rPr>
          <w:rFonts w:asciiTheme="minorEastAsia" w:hAnsiTheme="minorEastAsia" w:cs="宋体" w:hint="eastAsia"/>
          <w:color w:val="000000"/>
          <w:kern w:val="0"/>
          <w:sz w:val="24"/>
          <w:szCs w:val="24"/>
        </w:rPr>
        <w:t>评估机构可以聘请有从事该类业务的机构协助评估。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882D53">
        <w:rPr>
          <w:rFonts w:asciiTheme="minorEastAsia" w:hAnsiTheme="minorEastAsia" w:cs="宋体"/>
          <w:color w:val="000000"/>
          <w:kern w:val="0"/>
          <w:sz w:val="24"/>
          <w:szCs w:val="24"/>
        </w:rPr>
        <w:t> </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center"/>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第五章  附  则</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center"/>
        <w:rPr>
          <w:rFonts w:asciiTheme="minorEastAsia" w:hAnsiTheme="minorEastAsia" w:cs="宋体"/>
          <w:color w:val="000000"/>
          <w:kern w:val="0"/>
          <w:sz w:val="24"/>
          <w:szCs w:val="24"/>
        </w:rPr>
      </w:pPr>
      <w:r w:rsidRPr="00882D53">
        <w:rPr>
          <w:rFonts w:asciiTheme="minorEastAsia" w:hAnsiTheme="minorEastAsia" w:cs="宋体"/>
          <w:b/>
          <w:bCs/>
          <w:color w:val="000000"/>
          <w:kern w:val="0"/>
          <w:sz w:val="24"/>
          <w:szCs w:val="24"/>
        </w:rPr>
        <w:lastRenderedPageBreak/>
        <w:t> </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第二十八条</w:t>
      </w:r>
      <w:r w:rsidRPr="00882D53">
        <w:rPr>
          <w:rFonts w:asciiTheme="minorEastAsia" w:hAnsiTheme="minorEastAsia" w:cs="宋体" w:hint="eastAsia"/>
          <w:color w:val="000000"/>
          <w:kern w:val="0"/>
          <w:sz w:val="24"/>
          <w:szCs w:val="24"/>
        </w:rPr>
        <w:t xml:space="preserve">  本技术规范未作规定的，应按照《房地产估价规范》的有关规定执行。</w:t>
      </w:r>
    </w:p>
    <w:p w:rsidR="00912EB6" w:rsidRPr="00882D53" w:rsidRDefault="00912EB6" w:rsidP="00912EB6">
      <w:pPr>
        <w:widowControl/>
        <w:shd w:val="clear" w:color="auto" w:fill="FFFFFF"/>
        <w:snapToGrid w:val="0"/>
        <w:spacing w:before="100" w:beforeAutospacing="1" w:after="100" w:afterAutospacing="1" w:line="360" w:lineRule="auto"/>
        <w:ind w:firstLineChars="200" w:firstLine="482"/>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第二十九条</w:t>
      </w:r>
      <w:r w:rsidRPr="00882D53">
        <w:rPr>
          <w:rFonts w:asciiTheme="minorEastAsia" w:hAnsiTheme="minorEastAsia" w:cs="宋体" w:hint="eastAsia"/>
          <w:color w:val="000000"/>
          <w:kern w:val="0"/>
          <w:sz w:val="24"/>
          <w:szCs w:val="24"/>
        </w:rPr>
        <w:t xml:space="preserve">  本技术规范自公布之日起施行。《重庆市国土房管局关于印发&lt;重庆市城市房屋拆迁评估技术规范（试行）&gt;的通知》（渝国土</w:t>
      </w:r>
      <w:proofErr w:type="gramStart"/>
      <w:r w:rsidRPr="00882D53">
        <w:rPr>
          <w:rFonts w:asciiTheme="minorEastAsia" w:hAnsiTheme="minorEastAsia" w:cs="宋体" w:hint="eastAsia"/>
          <w:color w:val="000000"/>
          <w:kern w:val="0"/>
          <w:sz w:val="24"/>
          <w:szCs w:val="24"/>
        </w:rPr>
        <w:t>房管发</w:t>
      </w:r>
      <w:proofErr w:type="gramEnd"/>
      <w:r w:rsidRPr="00882D53">
        <w:rPr>
          <w:rFonts w:asciiTheme="minorEastAsia" w:hAnsiTheme="minorEastAsia" w:cs="宋体" w:hint="eastAsia"/>
          <w:color w:val="000000"/>
          <w:kern w:val="0"/>
          <w:sz w:val="24"/>
          <w:szCs w:val="24"/>
        </w:rPr>
        <w:t>〔2004〕574号）同时废止。但《国有土地上房屋征收与补偿条例》施行前已依法取得房屋拆迁许可证的项目，继续沿用原有规定。</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color w:val="000000"/>
          <w:kern w:val="0"/>
          <w:sz w:val="24"/>
          <w:szCs w:val="24"/>
        </w:rPr>
        <w:t> </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color w:val="000000"/>
          <w:kern w:val="0"/>
          <w:sz w:val="24"/>
          <w:szCs w:val="24"/>
        </w:rPr>
        <w:t> </w:t>
      </w:r>
    </w:p>
    <w:p w:rsidR="00912EB6" w:rsidRPr="00882D53" w:rsidRDefault="00912EB6" w:rsidP="00882D53">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color w:val="000000"/>
          <w:kern w:val="0"/>
          <w:sz w:val="24"/>
          <w:szCs w:val="24"/>
        </w:rPr>
        <w:t> </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color w:val="000000"/>
          <w:kern w:val="0"/>
          <w:sz w:val="24"/>
          <w:szCs w:val="24"/>
        </w:rPr>
        <w:t> </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color w:val="000000"/>
          <w:kern w:val="0"/>
          <w:sz w:val="24"/>
          <w:szCs w:val="24"/>
        </w:rPr>
        <w:t> </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附：个别因素与区域因素修正系数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b/>
          <w:bCs/>
          <w:color w:val="000000"/>
          <w:kern w:val="0"/>
          <w:sz w:val="24"/>
          <w:szCs w:val="24"/>
        </w:rPr>
        <w:t> </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b/>
          <w:bCs/>
          <w:color w:val="000000"/>
          <w:kern w:val="0"/>
          <w:sz w:val="24"/>
          <w:szCs w:val="24"/>
        </w:rPr>
        <w:t>个别因素与区域因素修正系数：</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新旧程度（折旧率）：每年调减0.5%，最高不超过15%；被征收同类房屋同</w:t>
      </w:r>
      <w:proofErr w:type="gramStart"/>
      <w:r w:rsidRPr="00882D53">
        <w:rPr>
          <w:rFonts w:asciiTheme="minorEastAsia" w:hAnsiTheme="minorEastAsia" w:cs="宋体" w:hint="eastAsia"/>
          <w:color w:val="000000"/>
          <w:kern w:val="0"/>
          <w:sz w:val="24"/>
          <w:szCs w:val="24"/>
        </w:rPr>
        <w:t>一</w:t>
      </w:r>
      <w:proofErr w:type="gramEnd"/>
      <w:r w:rsidRPr="00882D53">
        <w:rPr>
          <w:rFonts w:asciiTheme="minorEastAsia" w:hAnsiTheme="minorEastAsia" w:cs="宋体" w:hint="eastAsia"/>
          <w:color w:val="000000"/>
          <w:kern w:val="0"/>
          <w:sz w:val="24"/>
          <w:szCs w:val="24"/>
        </w:rPr>
        <w:t>年代房屋折旧差异应控制在2.5%以内；</w:t>
      </w:r>
    </w:p>
    <w:p w:rsidR="00912EB6" w:rsidRPr="00882D53" w:rsidRDefault="00912EB6" w:rsidP="00912EB6">
      <w:pPr>
        <w:widowControl/>
        <w:shd w:val="clear" w:color="auto" w:fill="FFFFFF"/>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设施设备：与可比案例比较，缺天然气的±0.5%；</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门窗：木门窗与塑钢、铝合金窗±0.5%；</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结构：</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简易与砖木±1%；简易与砖混、钢混（框架）±3-4%；</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lastRenderedPageBreak/>
        <w:t>砖木与砖混、钢混（框架）±1.5-2.5%；</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成套与非成套：±1%；</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出让与划拨：±0.5%；</w:t>
      </w:r>
      <w:r w:rsidRPr="00882D53">
        <w:rPr>
          <w:rFonts w:asciiTheme="minorEastAsia" w:hAnsiTheme="minorEastAsia" w:cs="宋体" w:hint="eastAsia"/>
          <w:color w:val="000000"/>
          <w:kern w:val="0"/>
          <w:sz w:val="24"/>
          <w:szCs w:val="24"/>
        </w:rPr>
        <w:tab/>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区域因素修正：±4%以内；</w:t>
      </w:r>
    </w:p>
    <w:p w:rsidR="00912EB6" w:rsidRPr="00882D53" w:rsidRDefault="00912EB6" w:rsidP="00912EB6">
      <w:pPr>
        <w:widowControl/>
        <w:shd w:val="clear" w:color="auto" w:fill="FFFFFF"/>
        <w:tabs>
          <w:tab w:val="left" w:pos="2820"/>
        </w:tabs>
        <w:snapToGrid w:val="0"/>
        <w:spacing w:before="100" w:beforeAutospacing="1" w:after="100" w:afterAutospacing="1" w:line="360" w:lineRule="auto"/>
        <w:jc w:val="left"/>
        <w:rPr>
          <w:rFonts w:asciiTheme="minorEastAsia" w:hAnsiTheme="minorEastAsia" w:cs="宋体"/>
          <w:color w:val="000000"/>
          <w:kern w:val="0"/>
          <w:sz w:val="24"/>
          <w:szCs w:val="24"/>
        </w:rPr>
      </w:pPr>
      <w:r w:rsidRPr="00882D53">
        <w:rPr>
          <w:rFonts w:asciiTheme="minorEastAsia" w:hAnsiTheme="minorEastAsia" w:cs="宋体" w:hint="eastAsia"/>
          <w:color w:val="000000"/>
          <w:kern w:val="0"/>
          <w:sz w:val="24"/>
          <w:szCs w:val="24"/>
        </w:rPr>
        <w:t>其他：±4%以内。</w:t>
      </w:r>
    </w:p>
    <w:p w:rsidR="002E4E16" w:rsidRPr="00882D53" w:rsidRDefault="002E4E16" w:rsidP="00912EB6">
      <w:pPr>
        <w:spacing w:line="360" w:lineRule="auto"/>
        <w:rPr>
          <w:rFonts w:asciiTheme="minorEastAsia" w:hAnsiTheme="minorEastAsia"/>
          <w:sz w:val="24"/>
          <w:szCs w:val="24"/>
        </w:rPr>
      </w:pPr>
    </w:p>
    <w:sectPr w:rsidR="002E4E16" w:rsidRPr="00882D53" w:rsidSect="002E4E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EB6" w:rsidRDefault="00912EB6" w:rsidP="00912EB6">
      <w:r>
        <w:separator/>
      </w:r>
    </w:p>
  </w:endnote>
  <w:endnote w:type="continuationSeparator" w:id="1">
    <w:p w:rsidR="00912EB6" w:rsidRDefault="00912EB6" w:rsidP="00912E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EB6" w:rsidRDefault="00912EB6" w:rsidP="00912EB6">
      <w:r>
        <w:separator/>
      </w:r>
    </w:p>
  </w:footnote>
  <w:footnote w:type="continuationSeparator" w:id="1">
    <w:p w:rsidR="00912EB6" w:rsidRDefault="00912EB6" w:rsidP="00912E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EB6"/>
    <w:rsid w:val="002E4E16"/>
    <w:rsid w:val="00882D53"/>
    <w:rsid w:val="00912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E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2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2EB6"/>
    <w:rPr>
      <w:sz w:val="18"/>
      <w:szCs w:val="18"/>
    </w:rPr>
  </w:style>
  <w:style w:type="paragraph" w:styleId="a4">
    <w:name w:val="footer"/>
    <w:basedOn w:val="a"/>
    <w:link w:val="Char0"/>
    <w:uiPriority w:val="99"/>
    <w:semiHidden/>
    <w:unhideWhenUsed/>
    <w:rsid w:val="00912E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2EB6"/>
    <w:rPr>
      <w:sz w:val="18"/>
      <w:szCs w:val="18"/>
    </w:rPr>
  </w:style>
  <w:style w:type="character" w:customStyle="1" w:styleId="grame">
    <w:name w:val="grame"/>
    <w:basedOn w:val="a0"/>
    <w:rsid w:val="00912EB6"/>
  </w:style>
  <w:style w:type="paragraph" w:styleId="a5">
    <w:name w:val="Body Text Indent"/>
    <w:basedOn w:val="a"/>
    <w:link w:val="Char1"/>
    <w:uiPriority w:val="99"/>
    <w:semiHidden/>
    <w:unhideWhenUsed/>
    <w:rsid w:val="00912EB6"/>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uiPriority w:val="99"/>
    <w:semiHidden/>
    <w:rsid w:val="00912EB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23313985">
      <w:bodyDiv w:val="1"/>
      <w:marLeft w:val="0"/>
      <w:marRight w:val="0"/>
      <w:marTop w:val="0"/>
      <w:marBottom w:val="0"/>
      <w:divBdr>
        <w:top w:val="none" w:sz="0" w:space="0" w:color="auto"/>
        <w:left w:val="none" w:sz="0" w:space="0" w:color="auto"/>
        <w:bottom w:val="none" w:sz="0" w:space="0" w:color="auto"/>
        <w:right w:val="none" w:sz="0" w:space="0" w:color="auto"/>
      </w:divBdr>
      <w:divsChild>
        <w:div w:id="956907188">
          <w:marLeft w:val="0"/>
          <w:marRight w:val="0"/>
          <w:marTop w:val="0"/>
          <w:marBottom w:val="0"/>
          <w:divBdr>
            <w:top w:val="none" w:sz="0" w:space="0" w:color="auto"/>
            <w:left w:val="none" w:sz="0" w:space="0" w:color="auto"/>
            <w:bottom w:val="none" w:sz="0" w:space="0" w:color="auto"/>
            <w:right w:val="none" w:sz="0" w:space="0" w:color="auto"/>
          </w:divBdr>
          <w:divsChild>
            <w:div w:id="1594970463">
              <w:marLeft w:val="250"/>
              <w:marRight w:val="250"/>
              <w:marTop w:val="0"/>
              <w:marBottom w:val="0"/>
              <w:divBdr>
                <w:top w:val="none" w:sz="0" w:space="0" w:color="auto"/>
                <w:left w:val="none" w:sz="0" w:space="0" w:color="auto"/>
                <w:bottom w:val="none" w:sz="0" w:space="0" w:color="auto"/>
                <w:right w:val="none" w:sz="0" w:space="0" w:color="auto"/>
              </w:divBdr>
              <w:divsChild>
                <w:div w:id="14810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686</Words>
  <Characters>3912</Characters>
  <Application>Microsoft Office Word</Application>
  <DocSecurity>0</DocSecurity>
  <Lines>32</Lines>
  <Paragraphs>9</Paragraphs>
  <ScaleCrop>false</ScaleCrop>
  <Company>China</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3</cp:revision>
  <dcterms:created xsi:type="dcterms:W3CDTF">2019-02-11T03:02:00Z</dcterms:created>
  <dcterms:modified xsi:type="dcterms:W3CDTF">2019-02-12T01:34:00Z</dcterms:modified>
</cp:coreProperties>
</file>