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CD" w:rsidRPr="00863B97" w:rsidRDefault="007228CD" w:rsidP="00863B97">
      <w:pPr>
        <w:spacing w:line="360" w:lineRule="auto"/>
        <w:jc w:val="center"/>
        <w:rPr>
          <w:rFonts w:ascii="ˎ̥" w:eastAsia="宋体"/>
          <w:b/>
          <w:sz w:val="36"/>
          <w:szCs w:val="36"/>
        </w:rPr>
      </w:pPr>
      <w:r w:rsidRPr="00863B97">
        <w:rPr>
          <w:rFonts w:hint="eastAsia"/>
          <w:b/>
          <w:sz w:val="36"/>
          <w:szCs w:val="36"/>
        </w:rPr>
        <w:t>重庆市国土资源房屋评估和经纪协会</w:t>
      </w:r>
    </w:p>
    <w:p w:rsidR="007228CD" w:rsidRPr="00863B97" w:rsidRDefault="007228CD" w:rsidP="00863B97">
      <w:pPr>
        <w:spacing w:line="360" w:lineRule="auto"/>
        <w:jc w:val="center"/>
        <w:rPr>
          <w:rFonts w:ascii="ˎ̥" w:eastAsia="宋体"/>
          <w:b/>
          <w:sz w:val="36"/>
          <w:szCs w:val="36"/>
        </w:rPr>
      </w:pPr>
      <w:r w:rsidRPr="00863B97">
        <w:rPr>
          <w:rFonts w:hint="eastAsia"/>
          <w:b/>
          <w:sz w:val="36"/>
          <w:szCs w:val="36"/>
        </w:rPr>
        <w:t>关于组建“重庆市国有土地上房屋征收评估</w:t>
      </w:r>
    </w:p>
    <w:p w:rsidR="007228CD" w:rsidRPr="00863B97" w:rsidRDefault="007228CD" w:rsidP="00863B97">
      <w:pPr>
        <w:spacing w:line="360" w:lineRule="auto"/>
        <w:jc w:val="center"/>
        <w:rPr>
          <w:rFonts w:ascii="ˎ̥" w:eastAsia="宋体"/>
          <w:b/>
          <w:sz w:val="36"/>
          <w:szCs w:val="36"/>
        </w:rPr>
      </w:pPr>
      <w:r w:rsidRPr="00863B97">
        <w:rPr>
          <w:rFonts w:hint="eastAsia"/>
          <w:b/>
          <w:sz w:val="36"/>
          <w:szCs w:val="36"/>
        </w:rPr>
        <w:t>专家委员会</w:t>
      </w:r>
      <w:proofErr w:type="gramStart"/>
      <w:r w:rsidRPr="00863B97">
        <w:rPr>
          <w:rFonts w:hint="eastAsia"/>
          <w:b/>
          <w:sz w:val="36"/>
          <w:szCs w:val="36"/>
        </w:rPr>
        <w:t>”</w:t>
      </w:r>
      <w:proofErr w:type="gramEnd"/>
      <w:r w:rsidRPr="00863B97">
        <w:rPr>
          <w:rFonts w:hint="eastAsia"/>
          <w:b/>
          <w:sz w:val="36"/>
          <w:szCs w:val="36"/>
        </w:rPr>
        <w:t>的通知</w:t>
      </w:r>
    </w:p>
    <w:p w:rsidR="007228CD" w:rsidRPr="00863B97" w:rsidRDefault="007228CD" w:rsidP="00863B97">
      <w:pPr>
        <w:spacing w:line="360" w:lineRule="auto"/>
        <w:rPr>
          <w:rFonts w:ascii="ˎ̥" w:eastAsia="宋体"/>
          <w:sz w:val="24"/>
          <w:szCs w:val="24"/>
        </w:rPr>
      </w:pPr>
      <w:r w:rsidRPr="00863B97">
        <w:rPr>
          <w:rFonts w:ascii="ˎ̥" w:eastAsia="宋体"/>
          <w:sz w:val="24"/>
          <w:szCs w:val="24"/>
        </w:rPr>
        <w:t> </w:t>
      </w:r>
    </w:p>
    <w:p w:rsidR="007228CD" w:rsidRPr="00863B97" w:rsidRDefault="007228CD" w:rsidP="00863B97">
      <w:pPr>
        <w:spacing w:line="360" w:lineRule="auto"/>
        <w:ind w:firstLineChars="200" w:firstLine="480"/>
        <w:rPr>
          <w:rFonts w:ascii="ˎ̥" w:eastAsia="宋体"/>
          <w:sz w:val="24"/>
          <w:szCs w:val="24"/>
        </w:rPr>
      </w:pPr>
      <w:r w:rsidRPr="00863B97">
        <w:rPr>
          <w:rFonts w:hint="eastAsia"/>
          <w:sz w:val="24"/>
          <w:szCs w:val="24"/>
        </w:rPr>
        <w:t>为维护房屋征收当事人合法权益，加强房屋征收评估自律监管和技术指导，确保房屋征收评估结果客观公平，推动我市国有土地上房屋征收评估工作的顺利进行，根据《国有土地上房屋征收评估办法》（建房〔</w:t>
      </w:r>
      <w:r w:rsidRPr="00863B97">
        <w:rPr>
          <w:rFonts w:hint="eastAsia"/>
          <w:sz w:val="24"/>
          <w:szCs w:val="24"/>
        </w:rPr>
        <w:t>2011</w:t>
      </w:r>
      <w:r w:rsidRPr="00863B97">
        <w:rPr>
          <w:rFonts w:hint="eastAsia"/>
          <w:sz w:val="24"/>
          <w:szCs w:val="24"/>
        </w:rPr>
        <w:t>〕</w:t>
      </w:r>
      <w:r w:rsidRPr="00863B97">
        <w:rPr>
          <w:rFonts w:hint="eastAsia"/>
          <w:sz w:val="24"/>
          <w:szCs w:val="24"/>
        </w:rPr>
        <w:t>77</w:t>
      </w:r>
      <w:r w:rsidRPr="00863B97">
        <w:rPr>
          <w:rFonts w:hint="eastAsia"/>
          <w:sz w:val="24"/>
          <w:szCs w:val="24"/>
        </w:rPr>
        <w:t>号）、《重庆市国有土地上房屋征收评估技术鉴定办法（试行）》</w:t>
      </w:r>
      <w:r w:rsidRPr="00863B97">
        <w:rPr>
          <w:rFonts w:hint="eastAsia"/>
          <w:sz w:val="24"/>
          <w:szCs w:val="24"/>
        </w:rPr>
        <w:t>(</w:t>
      </w:r>
      <w:r w:rsidRPr="00863B97">
        <w:rPr>
          <w:rFonts w:hint="eastAsia"/>
          <w:sz w:val="24"/>
          <w:szCs w:val="24"/>
        </w:rPr>
        <w:t>渝国土</w:t>
      </w:r>
      <w:proofErr w:type="gramStart"/>
      <w:r w:rsidRPr="00863B97">
        <w:rPr>
          <w:rFonts w:hint="eastAsia"/>
          <w:sz w:val="24"/>
          <w:szCs w:val="24"/>
        </w:rPr>
        <w:t>房管发</w:t>
      </w:r>
      <w:proofErr w:type="gramEnd"/>
      <w:r w:rsidRPr="00863B97">
        <w:rPr>
          <w:rFonts w:hint="eastAsia"/>
          <w:sz w:val="24"/>
          <w:szCs w:val="24"/>
        </w:rPr>
        <w:t>[2011]171</w:t>
      </w:r>
      <w:r w:rsidRPr="00863B97">
        <w:rPr>
          <w:rFonts w:hint="eastAsia"/>
          <w:sz w:val="24"/>
          <w:szCs w:val="24"/>
        </w:rPr>
        <w:t>号</w:t>
      </w:r>
      <w:r w:rsidRPr="00863B97">
        <w:rPr>
          <w:rFonts w:hint="eastAsia"/>
          <w:sz w:val="24"/>
          <w:szCs w:val="24"/>
        </w:rPr>
        <w:t>)</w:t>
      </w:r>
      <w:r w:rsidRPr="00863B97">
        <w:rPr>
          <w:rFonts w:hint="eastAsia"/>
          <w:sz w:val="24"/>
          <w:szCs w:val="24"/>
        </w:rPr>
        <w:t>等有关规定，在重庆市国土资源和房屋管理局的指导下，重庆市国土资源房屋评估和经纪协会（以下简称协会）结合我市实际，就组建重庆市国有土地上房屋征收评估专家委员会</w:t>
      </w:r>
      <w:r w:rsidRPr="00863B97">
        <w:rPr>
          <w:rFonts w:hint="eastAsia"/>
          <w:sz w:val="24"/>
          <w:szCs w:val="24"/>
        </w:rPr>
        <w:t>(</w:t>
      </w:r>
      <w:r w:rsidRPr="00863B97">
        <w:rPr>
          <w:rFonts w:hint="eastAsia"/>
          <w:sz w:val="24"/>
          <w:szCs w:val="24"/>
        </w:rPr>
        <w:t>以下简称专委会</w:t>
      </w:r>
      <w:r w:rsidRPr="00863B97">
        <w:rPr>
          <w:rFonts w:hint="eastAsia"/>
          <w:sz w:val="24"/>
          <w:szCs w:val="24"/>
        </w:rPr>
        <w:t>)</w:t>
      </w:r>
      <w:r w:rsidRPr="00863B97">
        <w:rPr>
          <w:rFonts w:hint="eastAsia"/>
          <w:sz w:val="24"/>
          <w:szCs w:val="24"/>
        </w:rPr>
        <w:t>有关事项通知如下：</w:t>
      </w:r>
    </w:p>
    <w:p w:rsidR="007228CD" w:rsidRPr="00E018BC" w:rsidRDefault="007228CD" w:rsidP="00863B97">
      <w:pPr>
        <w:spacing w:line="360" w:lineRule="auto"/>
        <w:ind w:firstLineChars="200" w:firstLine="480"/>
        <w:rPr>
          <w:rFonts w:ascii="ˎ̥" w:eastAsia="宋体"/>
          <w:sz w:val="24"/>
          <w:szCs w:val="24"/>
        </w:rPr>
      </w:pPr>
      <w:r w:rsidRPr="00E018BC">
        <w:rPr>
          <w:rFonts w:hint="eastAsia"/>
          <w:sz w:val="24"/>
          <w:szCs w:val="24"/>
        </w:rPr>
        <w:t>一、专委会组建</w:t>
      </w:r>
    </w:p>
    <w:p w:rsidR="007228CD" w:rsidRPr="00E018BC" w:rsidRDefault="007228CD" w:rsidP="00863B97">
      <w:pPr>
        <w:spacing w:line="360" w:lineRule="auto"/>
        <w:ind w:firstLineChars="200" w:firstLine="480"/>
        <w:rPr>
          <w:rFonts w:ascii="ˎ̥" w:eastAsia="宋体"/>
          <w:sz w:val="24"/>
          <w:szCs w:val="24"/>
        </w:rPr>
      </w:pPr>
      <w:r w:rsidRPr="00E018BC">
        <w:rPr>
          <w:rFonts w:hint="eastAsia"/>
          <w:sz w:val="24"/>
          <w:szCs w:val="24"/>
        </w:rPr>
        <w:t>（一）组织构架</w:t>
      </w:r>
    </w:p>
    <w:p w:rsidR="007228CD" w:rsidRPr="00863B97" w:rsidRDefault="007228CD" w:rsidP="00863B97">
      <w:pPr>
        <w:spacing w:line="360" w:lineRule="auto"/>
        <w:ind w:firstLineChars="200" w:firstLine="480"/>
        <w:rPr>
          <w:rFonts w:ascii="ˎ̥" w:eastAsia="宋体"/>
          <w:sz w:val="24"/>
          <w:szCs w:val="24"/>
        </w:rPr>
      </w:pPr>
      <w:r w:rsidRPr="00863B97">
        <w:rPr>
          <w:rFonts w:hint="eastAsia"/>
          <w:sz w:val="24"/>
          <w:szCs w:val="24"/>
        </w:rPr>
        <w:t>专委会属非常设议事机构，设主任委员</w:t>
      </w:r>
      <w:r w:rsidRPr="00863B97">
        <w:rPr>
          <w:rFonts w:hint="eastAsia"/>
          <w:sz w:val="24"/>
          <w:szCs w:val="24"/>
        </w:rPr>
        <w:t>1</w:t>
      </w:r>
      <w:r w:rsidRPr="00863B97">
        <w:rPr>
          <w:rFonts w:hint="eastAsia"/>
          <w:sz w:val="24"/>
          <w:szCs w:val="24"/>
        </w:rPr>
        <w:t>名，副主任委员</w:t>
      </w:r>
      <w:r w:rsidRPr="00863B97">
        <w:rPr>
          <w:rFonts w:hint="eastAsia"/>
          <w:sz w:val="24"/>
          <w:szCs w:val="24"/>
        </w:rPr>
        <w:t>2</w:t>
      </w:r>
      <w:r w:rsidRPr="00863B97">
        <w:rPr>
          <w:rFonts w:hint="eastAsia"/>
          <w:sz w:val="24"/>
          <w:szCs w:val="24"/>
        </w:rPr>
        <w:t>名，委员</w:t>
      </w:r>
      <w:r w:rsidRPr="00863B97">
        <w:rPr>
          <w:rFonts w:hint="eastAsia"/>
          <w:sz w:val="24"/>
          <w:szCs w:val="24"/>
        </w:rPr>
        <w:t>25</w:t>
      </w:r>
      <w:r w:rsidRPr="00863B97">
        <w:rPr>
          <w:rFonts w:hint="eastAsia"/>
          <w:sz w:val="24"/>
          <w:szCs w:val="24"/>
        </w:rPr>
        <w:t>名。专委会下设办公室。专委会办公室设在协会，负责专委会日常管理工作。办公室设主任</w:t>
      </w:r>
      <w:r w:rsidRPr="00863B97">
        <w:rPr>
          <w:rFonts w:hint="eastAsia"/>
          <w:sz w:val="24"/>
          <w:szCs w:val="24"/>
        </w:rPr>
        <w:t>1</w:t>
      </w:r>
      <w:r w:rsidRPr="00863B97">
        <w:rPr>
          <w:rFonts w:hint="eastAsia"/>
          <w:sz w:val="24"/>
          <w:szCs w:val="24"/>
        </w:rPr>
        <w:t>名，工作人员</w:t>
      </w:r>
      <w:r w:rsidRPr="00863B97">
        <w:rPr>
          <w:rFonts w:hint="eastAsia"/>
          <w:sz w:val="24"/>
          <w:szCs w:val="24"/>
        </w:rPr>
        <w:t>2-3</w:t>
      </w:r>
      <w:r w:rsidRPr="00863B97">
        <w:rPr>
          <w:rFonts w:hint="eastAsia"/>
          <w:sz w:val="24"/>
          <w:szCs w:val="24"/>
        </w:rPr>
        <w:t>名</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（二）专家</w:t>
      </w:r>
      <w:r w:rsidRPr="00863B97">
        <w:rPr>
          <w:rFonts w:hint="eastAsia"/>
          <w:sz w:val="24"/>
          <w:szCs w:val="24"/>
        </w:rPr>
        <w:t>遴选</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由</w:t>
      </w:r>
      <w:r w:rsidRPr="00863B97">
        <w:rPr>
          <w:rFonts w:hint="eastAsia"/>
          <w:sz w:val="24"/>
          <w:szCs w:val="24"/>
        </w:rPr>
        <w:t>协会向法制、城市规划、建设、价格等行政管理部门和高校等相关部门发函，</w:t>
      </w:r>
      <w:r w:rsidRPr="00863B97">
        <w:rPr>
          <w:rFonts w:hint="eastAsia"/>
          <w:spacing w:val="8"/>
          <w:sz w:val="24"/>
          <w:szCs w:val="24"/>
        </w:rPr>
        <w:t>采取本人自愿与单位推荐相结合的原则，经审查符合条件的专家组成专委会。主任委员、副主任委</w:t>
      </w:r>
      <w:r w:rsidRPr="00863B97">
        <w:rPr>
          <w:rFonts w:hint="eastAsia"/>
          <w:sz w:val="24"/>
          <w:szCs w:val="24"/>
        </w:rPr>
        <w:t>员</w:t>
      </w:r>
      <w:r w:rsidRPr="00863B97">
        <w:rPr>
          <w:rFonts w:hint="eastAsia"/>
          <w:spacing w:val="8"/>
          <w:sz w:val="24"/>
          <w:szCs w:val="24"/>
        </w:rPr>
        <w:t>由专委会委员选举产生，报协会审定后公布。专委会办公室主任人选由专委会任命。</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（三）</w:t>
      </w:r>
      <w:r w:rsidRPr="00863B97">
        <w:rPr>
          <w:rFonts w:hint="eastAsia"/>
          <w:sz w:val="24"/>
          <w:szCs w:val="24"/>
        </w:rPr>
        <w:t>组成人员</w:t>
      </w:r>
    </w:p>
    <w:p w:rsidR="007228CD" w:rsidRPr="00863B97" w:rsidRDefault="007228CD" w:rsidP="00863B97">
      <w:pPr>
        <w:spacing w:line="360" w:lineRule="auto"/>
        <w:ind w:firstLineChars="200" w:firstLine="480"/>
        <w:rPr>
          <w:rFonts w:ascii="ˎ̥" w:eastAsia="宋体"/>
          <w:sz w:val="24"/>
          <w:szCs w:val="24"/>
        </w:rPr>
      </w:pPr>
      <w:r w:rsidRPr="00863B97">
        <w:rPr>
          <w:rFonts w:hint="eastAsia"/>
          <w:sz w:val="24"/>
          <w:szCs w:val="24"/>
        </w:rPr>
        <w:t>专委会成员应当具备下列条件：</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1</w:t>
      </w:r>
      <w:r w:rsidRPr="00863B97">
        <w:rPr>
          <w:rFonts w:hint="eastAsia"/>
          <w:spacing w:val="8"/>
          <w:sz w:val="24"/>
          <w:szCs w:val="24"/>
        </w:rPr>
        <w:t>、在价格、房地产、土地、城市规划、法律、房屋征收等相关行业有较大影响和较高知名度的专业人员</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2</w:t>
      </w:r>
      <w:r w:rsidRPr="00863B97">
        <w:rPr>
          <w:rFonts w:hint="eastAsia"/>
          <w:spacing w:val="8"/>
          <w:sz w:val="24"/>
          <w:szCs w:val="24"/>
        </w:rPr>
        <w:t>、注册从业</w:t>
      </w:r>
      <w:r w:rsidRPr="00863B97">
        <w:rPr>
          <w:rFonts w:hint="eastAsia"/>
          <w:spacing w:val="8"/>
          <w:sz w:val="24"/>
          <w:szCs w:val="24"/>
        </w:rPr>
        <w:t>10</w:t>
      </w:r>
      <w:r w:rsidRPr="00863B97">
        <w:rPr>
          <w:rFonts w:hint="eastAsia"/>
          <w:spacing w:val="8"/>
          <w:sz w:val="24"/>
          <w:szCs w:val="24"/>
        </w:rPr>
        <w:t>年以上的房地产估价师或土地估价师；或连续从事相关专业工作满</w:t>
      </w:r>
      <w:r w:rsidRPr="00863B97">
        <w:rPr>
          <w:rFonts w:hint="eastAsia"/>
          <w:spacing w:val="8"/>
          <w:sz w:val="24"/>
          <w:szCs w:val="24"/>
        </w:rPr>
        <w:t>10</w:t>
      </w:r>
      <w:r w:rsidRPr="00863B97">
        <w:rPr>
          <w:rFonts w:hint="eastAsia"/>
          <w:spacing w:val="8"/>
          <w:sz w:val="24"/>
          <w:szCs w:val="24"/>
        </w:rPr>
        <w:t>年</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3</w:t>
      </w:r>
      <w:r w:rsidRPr="00863B97">
        <w:rPr>
          <w:rFonts w:hint="eastAsia"/>
          <w:spacing w:val="8"/>
          <w:sz w:val="24"/>
          <w:szCs w:val="24"/>
        </w:rPr>
        <w:t>、评估机构业务主管或学术带头人</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lastRenderedPageBreak/>
        <w:t>4</w:t>
      </w:r>
      <w:r w:rsidRPr="00863B97">
        <w:rPr>
          <w:rFonts w:hint="eastAsia"/>
          <w:spacing w:val="8"/>
          <w:sz w:val="24"/>
          <w:szCs w:val="24"/>
        </w:rPr>
        <w:t>、具备良好的职业道德素质，</w:t>
      </w:r>
      <w:r w:rsidRPr="00863B97">
        <w:rPr>
          <w:rFonts w:hint="eastAsia"/>
          <w:sz w:val="24"/>
          <w:szCs w:val="24"/>
        </w:rPr>
        <w:t>无不良记录</w:t>
      </w:r>
      <w:r w:rsidRPr="00863B97">
        <w:rPr>
          <w:rFonts w:hint="eastAsia"/>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5</w:t>
      </w:r>
      <w:r w:rsidRPr="00863B97">
        <w:rPr>
          <w:rFonts w:hint="eastAsia"/>
          <w:spacing w:val="8"/>
          <w:sz w:val="24"/>
          <w:szCs w:val="24"/>
        </w:rPr>
        <w:t>、具备较强的政策分析、学术研究能力和热爱专委会工作。</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二、专委会、专委会办公室主要职责</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（一）专委会的主要职责</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1</w:t>
      </w:r>
      <w:r w:rsidRPr="00863B97">
        <w:rPr>
          <w:rFonts w:hint="eastAsia"/>
          <w:spacing w:val="8"/>
          <w:sz w:val="24"/>
          <w:szCs w:val="24"/>
        </w:rPr>
        <w:t>、负责征收部门或被征收人对评估机构</w:t>
      </w:r>
      <w:proofErr w:type="gramStart"/>
      <w:r w:rsidRPr="00863B97">
        <w:rPr>
          <w:rFonts w:hint="eastAsia"/>
          <w:spacing w:val="8"/>
          <w:sz w:val="24"/>
          <w:szCs w:val="24"/>
        </w:rPr>
        <w:t>复估结果</w:t>
      </w:r>
      <w:proofErr w:type="gramEnd"/>
      <w:r w:rsidRPr="00863B97">
        <w:rPr>
          <w:rFonts w:hint="eastAsia"/>
          <w:spacing w:val="8"/>
          <w:sz w:val="24"/>
          <w:szCs w:val="24"/>
        </w:rPr>
        <w:t>提出异议的征收评估报告鉴定工作，并出具专家鉴定意见；</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2</w:t>
      </w:r>
      <w:r w:rsidRPr="00863B97">
        <w:rPr>
          <w:rFonts w:hint="eastAsia"/>
          <w:spacing w:val="8"/>
          <w:sz w:val="24"/>
          <w:szCs w:val="24"/>
        </w:rPr>
        <w:t>、负责研究和起草制定征收评估技术规范、估价规定及操作规程；</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3</w:t>
      </w:r>
      <w:r w:rsidRPr="00863B97">
        <w:rPr>
          <w:rFonts w:hint="eastAsia"/>
          <w:spacing w:val="8"/>
          <w:sz w:val="24"/>
          <w:szCs w:val="24"/>
        </w:rPr>
        <w:t>、协助制定征收评估行业职业道德规范、执业操守等行业管理制度；</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4</w:t>
      </w:r>
      <w:r w:rsidRPr="00863B97">
        <w:rPr>
          <w:rFonts w:hint="eastAsia"/>
          <w:spacing w:val="8"/>
          <w:sz w:val="24"/>
          <w:szCs w:val="24"/>
        </w:rPr>
        <w:t>、负责调解征收评估纠纷提供技术依据和专家建议意见；</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5</w:t>
      </w:r>
      <w:r w:rsidRPr="00863B97">
        <w:rPr>
          <w:rFonts w:hint="eastAsia"/>
          <w:spacing w:val="8"/>
          <w:sz w:val="24"/>
          <w:szCs w:val="24"/>
        </w:rPr>
        <w:t>、负责对外技术咨询；</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6</w:t>
      </w:r>
      <w:r w:rsidRPr="00863B97">
        <w:rPr>
          <w:rFonts w:hint="eastAsia"/>
          <w:spacing w:val="8"/>
          <w:sz w:val="24"/>
          <w:szCs w:val="24"/>
        </w:rPr>
        <w:t>、负责承办市国土房管局、协会交办的其他事宜。</w:t>
      </w:r>
    </w:p>
    <w:p w:rsidR="007228CD" w:rsidRPr="00863B97" w:rsidRDefault="00863B97" w:rsidP="00863B97">
      <w:pPr>
        <w:spacing w:line="360" w:lineRule="auto"/>
        <w:ind w:firstLineChars="200" w:firstLine="512"/>
        <w:rPr>
          <w:rFonts w:ascii="ˎ̥" w:eastAsia="宋体"/>
          <w:sz w:val="24"/>
          <w:szCs w:val="24"/>
        </w:rPr>
      </w:pPr>
      <w:r>
        <w:rPr>
          <w:rFonts w:hint="eastAsia"/>
          <w:spacing w:val="8"/>
          <w:sz w:val="24"/>
          <w:szCs w:val="24"/>
        </w:rPr>
        <w:t>（二）</w:t>
      </w:r>
      <w:r w:rsidR="007228CD" w:rsidRPr="00863B97">
        <w:rPr>
          <w:rFonts w:hint="eastAsia"/>
          <w:spacing w:val="8"/>
          <w:sz w:val="24"/>
          <w:szCs w:val="24"/>
        </w:rPr>
        <w:t>专委会办公室的主要职责</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1</w:t>
      </w:r>
      <w:r w:rsidRPr="00863B97">
        <w:rPr>
          <w:rFonts w:hint="eastAsia"/>
          <w:spacing w:val="8"/>
          <w:sz w:val="24"/>
          <w:szCs w:val="24"/>
        </w:rPr>
        <w:t>、负责与专家成员的联系工作；</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2</w:t>
      </w:r>
      <w:r w:rsidRPr="00863B97">
        <w:rPr>
          <w:rFonts w:hint="eastAsia"/>
          <w:spacing w:val="8"/>
          <w:sz w:val="24"/>
          <w:szCs w:val="24"/>
        </w:rPr>
        <w:t>、负责征收评估专委会鉴定工作的组织协调；</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3</w:t>
      </w:r>
      <w:r w:rsidRPr="00863B97">
        <w:rPr>
          <w:rFonts w:hint="eastAsia"/>
          <w:spacing w:val="8"/>
          <w:sz w:val="24"/>
          <w:szCs w:val="24"/>
        </w:rPr>
        <w:t>、负责鉴定报告申请的接收、审核工作，提出拟办意见，报主任委员同意后，通知相关专家开会的时间、地点等；</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4</w:t>
      </w:r>
      <w:r w:rsidRPr="00863B97">
        <w:rPr>
          <w:rFonts w:hint="eastAsia"/>
          <w:spacing w:val="8"/>
          <w:sz w:val="24"/>
          <w:szCs w:val="24"/>
        </w:rPr>
        <w:t>、负责鉴定报告会议纪录、鉴定意见草拟、鉴定意见发出登记、鉴定档案管理等工作</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5</w:t>
      </w:r>
      <w:r w:rsidRPr="00863B97">
        <w:rPr>
          <w:rFonts w:hint="eastAsia"/>
          <w:spacing w:val="8"/>
          <w:sz w:val="24"/>
          <w:szCs w:val="24"/>
        </w:rPr>
        <w:t>、负责协助征收评估专委会主任委员和副主任委员的日常事务管理工作；</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6</w:t>
      </w:r>
      <w:r w:rsidRPr="00863B97">
        <w:rPr>
          <w:rFonts w:hint="eastAsia"/>
          <w:spacing w:val="8"/>
          <w:sz w:val="24"/>
          <w:szCs w:val="24"/>
        </w:rPr>
        <w:t>、负责征收评估专委会主任委员交办的其他工作。</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三、专委会的议事规则</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评估专家委员会，主要以召开全委会和小组会的形式，研究分析问题，行使专委会职能，全委会是专委会的最高议事程序。</w:t>
      </w:r>
    </w:p>
    <w:p w:rsidR="007228CD" w:rsidRPr="00863B97" w:rsidRDefault="007228CD" w:rsidP="00863B97">
      <w:pPr>
        <w:spacing w:line="360" w:lineRule="auto"/>
        <w:rPr>
          <w:rFonts w:ascii="ˎ̥" w:eastAsia="宋体"/>
          <w:sz w:val="24"/>
          <w:szCs w:val="24"/>
        </w:rPr>
      </w:pPr>
      <w:r w:rsidRPr="00863B97">
        <w:rPr>
          <w:rFonts w:hint="eastAsia"/>
          <w:spacing w:val="8"/>
          <w:sz w:val="24"/>
          <w:szCs w:val="24"/>
        </w:rPr>
        <w:t>小组会议主要是涉及每个鉴定项目或主任委员认为不需经全委会讨论的议题时，由主任委员根据议题具体情况抽选专家组成议事小组，并指定组长行使专家议事职能。</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（一）全委会的议事规则</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1</w:t>
      </w:r>
      <w:r w:rsidRPr="00863B97">
        <w:rPr>
          <w:rFonts w:hint="eastAsia"/>
          <w:spacing w:val="8"/>
          <w:sz w:val="24"/>
          <w:szCs w:val="24"/>
        </w:rPr>
        <w:t>、审议专委会年度工作报告；</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lastRenderedPageBreak/>
        <w:t>2</w:t>
      </w:r>
      <w:r w:rsidRPr="00863B97">
        <w:rPr>
          <w:rFonts w:hint="eastAsia"/>
          <w:spacing w:val="8"/>
          <w:sz w:val="24"/>
          <w:szCs w:val="24"/>
        </w:rPr>
        <w:t>、召开全委会的决定，由主任委员下达</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3</w:t>
      </w:r>
      <w:r w:rsidRPr="00863B97">
        <w:rPr>
          <w:rFonts w:hint="eastAsia"/>
          <w:spacing w:val="8"/>
          <w:sz w:val="24"/>
          <w:szCs w:val="24"/>
        </w:rPr>
        <w:t>、全委会每年原则上举行</w:t>
      </w:r>
      <w:r w:rsidRPr="00863B97">
        <w:rPr>
          <w:rFonts w:hint="eastAsia"/>
          <w:spacing w:val="8"/>
          <w:sz w:val="24"/>
          <w:szCs w:val="24"/>
        </w:rPr>
        <w:t>1</w:t>
      </w:r>
      <w:r w:rsidRPr="00863B97">
        <w:rPr>
          <w:rFonts w:hint="eastAsia"/>
          <w:spacing w:val="8"/>
          <w:sz w:val="24"/>
          <w:szCs w:val="24"/>
        </w:rPr>
        <w:t>—</w:t>
      </w:r>
      <w:r w:rsidRPr="00863B97">
        <w:rPr>
          <w:rFonts w:hint="eastAsia"/>
          <w:spacing w:val="8"/>
          <w:sz w:val="24"/>
          <w:szCs w:val="24"/>
        </w:rPr>
        <w:t>2</w:t>
      </w:r>
      <w:r w:rsidRPr="00863B97">
        <w:rPr>
          <w:rFonts w:hint="eastAsia"/>
          <w:spacing w:val="8"/>
          <w:sz w:val="24"/>
          <w:szCs w:val="24"/>
        </w:rPr>
        <w:t>次</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4</w:t>
      </w:r>
      <w:r w:rsidRPr="00863B97">
        <w:rPr>
          <w:rFonts w:hint="eastAsia"/>
          <w:spacing w:val="8"/>
          <w:sz w:val="24"/>
          <w:szCs w:val="24"/>
        </w:rPr>
        <w:t>、全委会主要针对市国土房管局、协会交办的任务、本行业的重大管理问题和技术课题，以及主任委员认为需经全委会决定的事宜等进行研讨，形成专家意见</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5</w:t>
      </w:r>
      <w:r w:rsidRPr="00863B97">
        <w:rPr>
          <w:rFonts w:hint="eastAsia"/>
          <w:spacing w:val="8"/>
          <w:sz w:val="24"/>
          <w:szCs w:val="24"/>
        </w:rPr>
        <w:t>、全委会由主任委员主持；主任委员不能参会时，由主任委员指定</w:t>
      </w:r>
      <w:r w:rsidRPr="00863B97">
        <w:rPr>
          <w:rFonts w:hint="eastAsia"/>
          <w:spacing w:val="8"/>
          <w:sz w:val="24"/>
          <w:szCs w:val="24"/>
        </w:rPr>
        <w:t>1</w:t>
      </w:r>
      <w:r w:rsidRPr="00863B97">
        <w:rPr>
          <w:rFonts w:hint="eastAsia"/>
          <w:spacing w:val="8"/>
          <w:sz w:val="24"/>
          <w:szCs w:val="24"/>
        </w:rPr>
        <w:t>名副主任委员主持</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6</w:t>
      </w:r>
      <w:r w:rsidRPr="00863B97">
        <w:rPr>
          <w:rFonts w:hint="eastAsia"/>
          <w:spacing w:val="8"/>
          <w:sz w:val="24"/>
          <w:szCs w:val="24"/>
        </w:rPr>
        <w:t>、全委会须有</w:t>
      </w:r>
      <w:r w:rsidRPr="00863B97">
        <w:rPr>
          <w:rFonts w:hint="eastAsia"/>
          <w:spacing w:val="8"/>
          <w:sz w:val="24"/>
          <w:szCs w:val="24"/>
        </w:rPr>
        <w:t>2/3</w:t>
      </w:r>
      <w:r w:rsidRPr="00863B97">
        <w:rPr>
          <w:rFonts w:hint="eastAsia"/>
          <w:spacing w:val="8"/>
          <w:sz w:val="24"/>
          <w:szCs w:val="24"/>
        </w:rPr>
        <w:t>以上的委员出席，方能举行；形成的决议和意见，须经半数以上的与会委员同意，方能生效。</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（二）小组会的议事规则</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1</w:t>
      </w:r>
      <w:r w:rsidRPr="00863B97">
        <w:rPr>
          <w:rFonts w:hint="eastAsia"/>
          <w:spacing w:val="8"/>
          <w:sz w:val="24"/>
          <w:szCs w:val="24"/>
        </w:rPr>
        <w:t>、召开小组会的决定，由主任委员或副主任委员下达</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2</w:t>
      </w:r>
      <w:r w:rsidRPr="00863B97">
        <w:rPr>
          <w:rFonts w:hint="eastAsia"/>
          <w:spacing w:val="8"/>
          <w:sz w:val="24"/>
          <w:szCs w:val="24"/>
        </w:rPr>
        <w:t>、小组会主要针对日常鉴定报告或不需经全委会讨论的事宜，形成专家意见和建议</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3</w:t>
      </w:r>
      <w:r w:rsidRPr="00863B97">
        <w:rPr>
          <w:rFonts w:hint="eastAsia"/>
          <w:spacing w:val="8"/>
          <w:sz w:val="24"/>
          <w:szCs w:val="24"/>
        </w:rPr>
        <w:t>、小组会由临时选定组长主持</w:t>
      </w:r>
      <w:r w:rsidRPr="00863B97">
        <w:rPr>
          <w:rFonts w:hint="eastAsia"/>
          <w:spacing w:val="8"/>
          <w:sz w:val="24"/>
          <w:szCs w:val="24"/>
        </w:rPr>
        <w:t>;</w:t>
      </w:r>
    </w:p>
    <w:p w:rsidR="007228CD" w:rsidRPr="00863B97" w:rsidRDefault="007228CD" w:rsidP="00863B97">
      <w:pPr>
        <w:spacing w:line="360" w:lineRule="auto"/>
        <w:ind w:firstLineChars="200" w:firstLine="512"/>
        <w:rPr>
          <w:rFonts w:ascii="ˎ̥" w:eastAsia="宋体"/>
          <w:sz w:val="24"/>
          <w:szCs w:val="24"/>
        </w:rPr>
      </w:pPr>
      <w:r w:rsidRPr="00863B97">
        <w:rPr>
          <w:rFonts w:hint="eastAsia"/>
          <w:spacing w:val="8"/>
          <w:sz w:val="24"/>
          <w:szCs w:val="24"/>
        </w:rPr>
        <w:t>4</w:t>
      </w:r>
      <w:r w:rsidRPr="00863B97">
        <w:rPr>
          <w:rFonts w:hint="eastAsia"/>
          <w:spacing w:val="8"/>
          <w:sz w:val="24"/>
          <w:szCs w:val="24"/>
        </w:rPr>
        <w:t>、小组会须由</w:t>
      </w:r>
      <w:r w:rsidRPr="00863B97">
        <w:rPr>
          <w:rFonts w:hint="eastAsia"/>
          <w:spacing w:val="8"/>
          <w:sz w:val="24"/>
          <w:szCs w:val="24"/>
        </w:rPr>
        <w:t>5</w:t>
      </w:r>
      <w:r w:rsidRPr="00863B97">
        <w:rPr>
          <w:rFonts w:hint="eastAsia"/>
          <w:spacing w:val="8"/>
          <w:sz w:val="24"/>
          <w:szCs w:val="24"/>
        </w:rPr>
        <w:t>人以上专家委员（人数须为奇数）出席。参加的房地产估价师不得少于该小组人员的二分之一，方能举行；形成的意见和结论建议，须经</w:t>
      </w:r>
      <w:r w:rsidRPr="00863B97">
        <w:rPr>
          <w:rFonts w:hint="eastAsia"/>
          <w:spacing w:val="8"/>
          <w:sz w:val="24"/>
          <w:szCs w:val="24"/>
        </w:rPr>
        <w:t>2/3</w:t>
      </w:r>
      <w:r w:rsidRPr="00863B97">
        <w:rPr>
          <w:rFonts w:hint="eastAsia"/>
          <w:spacing w:val="8"/>
          <w:sz w:val="24"/>
          <w:szCs w:val="24"/>
        </w:rPr>
        <w:t>以上的与会委员同意，方能生效。</w:t>
      </w:r>
    </w:p>
    <w:p w:rsidR="007228CD" w:rsidRPr="00863B97" w:rsidRDefault="007228CD" w:rsidP="00863B97">
      <w:pPr>
        <w:spacing w:line="360" w:lineRule="auto"/>
        <w:rPr>
          <w:rFonts w:ascii="ˎ̥" w:eastAsia="宋体"/>
          <w:sz w:val="24"/>
          <w:szCs w:val="24"/>
        </w:rPr>
      </w:pPr>
      <w:r w:rsidRPr="00863B97">
        <w:rPr>
          <w:rFonts w:ascii="ˎ̥" w:eastAsia="宋体"/>
          <w:sz w:val="24"/>
          <w:szCs w:val="24"/>
        </w:rPr>
        <w:t> </w:t>
      </w:r>
    </w:p>
    <w:p w:rsidR="007228CD" w:rsidRPr="00863B97" w:rsidRDefault="007228CD" w:rsidP="00863B97">
      <w:pPr>
        <w:spacing w:line="360" w:lineRule="auto"/>
        <w:rPr>
          <w:rFonts w:ascii="ˎ̥" w:eastAsia="宋体"/>
          <w:sz w:val="24"/>
          <w:szCs w:val="24"/>
        </w:rPr>
      </w:pPr>
      <w:r w:rsidRPr="00863B97">
        <w:rPr>
          <w:rFonts w:ascii="ˎ̥" w:eastAsia="宋体"/>
          <w:sz w:val="24"/>
          <w:szCs w:val="24"/>
        </w:rPr>
        <w:t> </w:t>
      </w:r>
    </w:p>
    <w:p w:rsidR="007228CD" w:rsidRPr="00863B97" w:rsidRDefault="007228CD" w:rsidP="00863B97">
      <w:pPr>
        <w:spacing w:line="360" w:lineRule="auto"/>
        <w:rPr>
          <w:rFonts w:ascii="ˎ̥" w:eastAsia="宋体"/>
          <w:sz w:val="24"/>
          <w:szCs w:val="24"/>
        </w:rPr>
      </w:pPr>
      <w:r w:rsidRPr="00863B97">
        <w:rPr>
          <w:rFonts w:ascii="ˎ̥" w:eastAsia="宋体"/>
          <w:sz w:val="24"/>
          <w:szCs w:val="24"/>
        </w:rPr>
        <w:t> </w:t>
      </w:r>
    </w:p>
    <w:p w:rsidR="007228CD" w:rsidRPr="00863B97" w:rsidRDefault="007228CD" w:rsidP="00863B97">
      <w:pPr>
        <w:spacing w:line="360" w:lineRule="auto"/>
        <w:jc w:val="right"/>
        <w:rPr>
          <w:rFonts w:ascii="ˎ̥" w:eastAsia="宋体"/>
          <w:sz w:val="24"/>
          <w:szCs w:val="24"/>
        </w:rPr>
      </w:pPr>
      <w:r w:rsidRPr="00863B97">
        <w:rPr>
          <w:rFonts w:hint="eastAsia"/>
          <w:spacing w:val="8"/>
          <w:sz w:val="24"/>
          <w:szCs w:val="24"/>
        </w:rPr>
        <w:t>二○一一年十一月十六日</w:t>
      </w:r>
    </w:p>
    <w:p w:rsidR="004B1FD3" w:rsidRPr="00863B97" w:rsidRDefault="004B1FD3" w:rsidP="00863B97">
      <w:pPr>
        <w:spacing w:line="360" w:lineRule="auto"/>
        <w:rPr>
          <w:sz w:val="24"/>
          <w:szCs w:val="24"/>
        </w:rPr>
      </w:pPr>
      <w:bookmarkStart w:id="0" w:name="_GoBack"/>
      <w:bookmarkEnd w:id="0"/>
    </w:p>
    <w:sectPr w:rsidR="004B1FD3" w:rsidRPr="00863B97" w:rsidSect="005A3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8CD" w:rsidRDefault="007228CD" w:rsidP="007228CD">
      <w:r>
        <w:separator/>
      </w:r>
    </w:p>
  </w:endnote>
  <w:endnote w:type="continuationSeparator" w:id="1">
    <w:p w:rsidR="007228CD" w:rsidRDefault="007228CD" w:rsidP="00722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8CD" w:rsidRDefault="007228CD" w:rsidP="007228CD">
      <w:r>
        <w:separator/>
      </w:r>
    </w:p>
  </w:footnote>
  <w:footnote w:type="continuationSeparator" w:id="1">
    <w:p w:rsidR="007228CD" w:rsidRDefault="007228CD" w:rsidP="00722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8CD"/>
    <w:rsid w:val="004B1FD3"/>
    <w:rsid w:val="005A36B7"/>
    <w:rsid w:val="007228CD"/>
    <w:rsid w:val="00863B97"/>
    <w:rsid w:val="00E0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8CD"/>
    <w:rPr>
      <w:sz w:val="18"/>
      <w:szCs w:val="18"/>
    </w:rPr>
  </w:style>
  <w:style w:type="paragraph" w:styleId="a4">
    <w:name w:val="footer"/>
    <w:basedOn w:val="a"/>
    <w:link w:val="Char0"/>
    <w:uiPriority w:val="99"/>
    <w:semiHidden/>
    <w:unhideWhenUsed/>
    <w:rsid w:val="007228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8CD"/>
    <w:rPr>
      <w:sz w:val="18"/>
      <w:szCs w:val="18"/>
    </w:rPr>
  </w:style>
</w:styles>
</file>

<file path=word/webSettings.xml><?xml version="1.0" encoding="utf-8"?>
<w:webSettings xmlns:r="http://schemas.openxmlformats.org/officeDocument/2006/relationships" xmlns:w="http://schemas.openxmlformats.org/wordprocessingml/2006/main">
  <w:divs>
    <w:div w:id="1743286268">
      <w:bodyDiv w:val="1"/>
      <w:marLeft w:val="0"/>
      <w:marRight w:val="0"/>
      <w:marTop w:val="0"/>
      <w:marBottom w:val="0"/>
      <w:divBdr>
        <w:top w:val="none" w:sz="0" w:space="0" w:color="auto"/>
        <w:left w:val="none" w:sz="0" w:space="0" w:color="auto"/>
        <w:bottom w:val="none" w:sz="0" w:space="0" w:color="auto"/>
        <w:right w:val="none" w:sz="0" w:space="0" w:color="auto"/>
      </w:divBdr>
      <w:divsChild>
        <w:div w:id="1865093407">
          <w:marLeft w:val="0"/>
          <w:marRight w:val="0"/>
          <w:marTop w:val="0"/>
          <w:marBottom w:val="0"/>
          <w:divBdr>
            <w:top w:val="none" w:sz="0" w:space="0" w:color="auto"/>
            <w:left w:val="none" w:sz="0" w:space="0" w:color="auto"/>
            <w:bottom w:val="none" w:sz="0" w:space="0" w:color="auto"/>
            <w:right w:val="none" w:sz="0" w:space="0" w:color="auto"/>
          </w:divBdr>
          <w:divsChild>
            <w:div w:id="207687751">
              <w:marLeft w:val="0"/>
              <w:marRight w:val="0"/>
              <w:marTop w:val="0"/>
              <w:marBottom w:val="0"/>
              <w:divBdr>
                <w:top w:val="none" w:sz="0" w:space="0" w:color="auto"/>
                <w:left w:val="none" w:sz="0" w:space="0" w:color="auto"/>
                <w:bottom w:val="none" w:sz="0" w:space="0" w:color="auto"/>
                <w:right w:val="none" w:sz="0" w:space="0" w:color="auto"/>
              </w:divBdr>
              <w:divsChild>
                <w:div w:id="699743907">
                  <w:marLeft w:val="0"/>
                  <w:marRight w:val="0"/>
                  <w:marTop w:val="0"/>
                  <w:marBottom w:val="0"/>
                  <w:divBdr>
                    <w:top w:val="none" w:sz="0" w:space="0" w:color="auto"/>
                    <w:left w:val="none" w:sz="0" w:space="0" w:color="auto"/>
                    <w:bottom w:val="none" w:sz="0" w:space="0" w:color="auto"/>
                    <w:right w:val="none" w:sz="0" w:space="0" w:color="auto"/>
                  </w:divBdr>
                  <w:divsChild>
                    <w:div w:id="124396708">
                      <w:marLeft w:val="0"/>
                      <w:marRight w:val="0"/>
                      <w:marTop w:val="0"/>
                      <w:marBottom w:val="0"/>
                      <w:divBdr>
                        <w:top w:val="none" w:sz="0" w:space="0" w:color="auto"/>
                        <w:left w:val="none" w:sz="0" w:space="0" w:color="auto"/>
                        <w:bottom w:val="none" w:sz="0" w:space="0" w:color="auto"/>
                        <w:right w:val="none" w:sz="0" w:space="0" w:color="auto"/>
                      </w:divBdr>
                      <w:divsChild>
                        <w:div w:id="1592079721">
                          <w:marLeft w:val="0"/>
                          <w:marRight w:val="0"/>
                          <w:marTop w:val="0"/>
                          <w:marBottom w:val="0"/>
                          <w:divBdr>
                            <w:top w:val="none" w:sz="0" w:space="0" w:color="auto"/>
                            <w:left w:val="none" w:sz="0" w:space="0" w:color="auto"/>
                            <w:bottom w:val="single" w:sz="4" w:space="0" w:color="6D7F91"/>
                            <w:right w:val="none" w:sz="0" w:space="0" w:color="auto"/>
                          </w:divBdr>
                          <w:divsChild>
                            <w:div w:id="1081876828">
                              <w:marLeft w:val="0"/>
                              <w:marRight w:val="0"/>
                              <w:marTop w:val="0"/>
                              <w:marBottom w:val="0"/>
                              <w:divBdr>
                                <w:top w:val="none" w:sz="0" w:space="0" w:color="auto"/>
                                <w:left w:val="none" w:sz="0" w:space="0" w:color="auto"/>
                                <w:bottom w:val="single" w:sz="4" w:space="9" w:color="6D7F91"/>
                                <w:right w:val="none" w:sz="0" w:space="0" w:color="auto"/>
                              </w:divBdr>
                              <w:divsChild>
                                <w:div w:id="1391657479">
                                  <w:marLeft w:val="0"/>
                                  <w:marRight w:val="0"/>
                                  <w:marTop w:val="188"/>
                                  <w:marBottom w:val="188"/>
                                  <w:divBdr>
                                    <w:top w:val="dashed" w:sz="4" w:space="9" w:color="9CABB8"/>
                                    <w:left w:val="none" w:sz="0" w:space="0" w:color="auto"/>
                                    <w:bottom w:val="single" w:sz="4" w:space="9" w:color="9CABB8"/>
                                    <w:right w:val="none" w:sz="0" w:space="0" w:color="auto"/>
                                  </w:divBdr>
                                  <w:divsChild>
                                    <w:div w:id="646667042">
                                      <w:marLeft w:val="0"/>
                                      <w:marRight w:val="0"/>
                                      <w:marTop w:val="0"/>
                                      <w:marBottom w:val="0"/>
                                      <w:divBdr>
                                        <w:top w:val="none" w:sz="0" w:space="0" w:color="auto"/>
                                        <w:left w:val="none" w:sz="0" w:space="0" w:color="auto"/>
                                        <w:bottom w:val="none" w:sz="0" w:space="0" w:color="auto"/>
                                        <w:right w:val="none" w:sz="0" w:space="0" w:color="auto"/>
                                      </w:divBdr>
                                    </w:div>
                                    <w:div w:id="951327703">
                                      <w:marLeft w:val="0"/>
                                      <w:marRight w:val="0"/>
                                      <w:marTop w:val="0"/>
                                      <w:marBottom w:val="0"/>
                                      <w:divBdr>
                                        <w:top w:val="none" w:sz="0" w:space="0" w:color="auto"/>
                                        <w:left w:val="none" w:sz="0" w:space="0" w:color="auto"/>
                                        <w:bottom w:val="none" w:sz="0" w:space="0" w:color="auto"/>
                                        <w:right w:val="none" w:sz="0" w:space="0" w:color="auto"/>
                                      </w:divBdr>
                                    </w:div>
                                    <w:div w:id="654605794">
                                      <w:marLeft w:val="0"/>
                                      <w:marRight w:val="0"/>
                                      <w:marTop w:val="0"/>
                                      <w:marBottom w:val="0"/>
                                      <w:divBdr>
                                        <w:top w:val="none" w:sz="0" w:space="0" w:color="auto"/>
                                        <w:left w:val="none" w:sz="0" w:space="0" w:color="auto"/>
                                        <w:bottom w:val="none" w:sz="0" w:space="0" w:color="auto"/>
                                        <w:right w:val="none" w:sz="0" w:space="0" w:color="auto"/>
                                      </w:divBdr>
                                    </w:div>
                                    <w:div w:id="51315315">
                                      <w:marLeft w:val="0"/>
                                      <w:marRight w:val="0"/>
                                      <w:marTop w:val="0"/>
                                      <w:marBottom w:val="0"/>
                                      <w:divBdr>
                                        <w:top w:val="none" w:sz="0" w:space="0" w:color="auto"/>
                                        <w:left w:val="none" w:sz="0" w:space="0" w:color="auto"/>
                                        <w:bottom w:val="none" w:sz="0" w:space="0" w:color="auto"/>
                                        <w:right w:val="none" w:sz="0" w:space="0" w:color="auto"/>
                                      </w:divBdr>
                                    </w:div>
                                    <w:div w:id="3092584">
                                      <w:marLeft w:val="0"/>
                                      <w:marRight w:val="0"/>
                                      <w:marTop w:val="0"/>
                                      <w:marBottom w:val="0"/>
                                      <w:divBdr>
                                        <w:top w:val="none" w:sz="0" w:space="0" w:color="auto"/>
                                        <w:left w:val="none" w:sz="0" w:space="0" w:color="auto"/>
                                        <w:bottom w:val="none" w:sz="0" w:space="0" w:color="auto"/>
                                        <w:right w:val="none" w:sz="0" w:space="0" w:color="auto"/>
                                      </w:divBdr>
                                    </w:div>
                                    <w:div w:id="763956177">
                                      <w:marLeft w:val="0"/>
                                      <w:marRight w:val="0"/>
                                      <w:marTop w:val="0"/>
                                      <w:marBottom w:val="0"/>
                                      <w:divBdr>
                                        <w:top w:val="none" w:sz="0" w:space="0" w:color="auto"/>
                                        <w:left w:val="none" w:sz="0" w:space="0" w:color="auto"/>
                                        <w:bottom w:val="none" w:sz="0" w:space="0" w:color="auto"/>
                                        <w:right w:val="none" w:sz="0" w:space="0" w:color="auto"/>
                                      </w:divBdr>
                                    </w:div>
                                    <w:div w:id="1683895019">
                                      <w:marLeft w:val="0"/>
                                      <w:marRight w:val="0"/>
                                      <w:marTop w:val="0"/>
                                      <w:marBottom w:val="0"/>
                                      <w:divBdr>
                                        <w:top w:val="none" w:sz="0" w:space="0" w:color="auto"/>
                                        <w:left w:val="none" w:sz="0" w:space="0" w:color="auto"/>
                                        <w:bottom w:val="none" w:sz="0" w:space="0" w:color="auto"/>
                                        <w:right w:val="none" w:sz="0" w:space="0" w:color="auto"/>
                                      </w:divBdr>
                                    </w:div>
                                    <w:div w:id="1995599056">
                                      <w:marLeft w:val="0"/>
                                      <w:marRight w:val="0"/>
                                      <w:marTop w:val="0"/>
                                      <w:marBottom w:val="0"/>
                                      <w:divBdr>
                                        <w:top w:val="none" w:sz="0" w:space="0" w:color="auto"/>
                                        <w:left w:val="none" w:sz="0" w:space="0" w:color="auto"/>
                                        <w:bottom w:val="none" w:sz="0" w:space="0" w:color="auto"/>
                                        <w:right w:val="none" w:sz="0" w:space="0" w:color="auto"/>
                                      </w:divBdr>
                                    </w:div>
                                    <w:div w:id="160048287">
                                      <w:marLeft w:val="0"/>
                                      <w:marRight w:val="0"/>
                                      <w:marTop w:val="0"/>
                                      <w:marBottom w:val="0"/>
                                      <w:divBdr>
                                        <w:top w:val="none" w:sz="0" w:space="0" w:color="auto"/>
                                        <w:left w:val="none" w:sz="0" w:space="0" w:color="auto"/>
                                        <w:bottom w:val="none" w:sz="0" w:space="0" w:color="auto"/>
                                        <w:right w:val="none" w:sz="0" w:space="0" w:color="auto"/>
                                      </w:divBdr>
                                    </w:div>
                                    <w:div w:id="2139256922">
                                      <w:marLeft w:val="0"/>
                                      <w:marRight w:val="0"/>
                                      <w:marTop w:val="0"/>
                                      <w:marBottom w:val="0"/>
                                      <w:divBdr>
                                        <w:top w:val="none" w:sz="0" w:space="0" w:color="auto"/>
                                        <w:left w:val="none" w:sz="0" w:space="0" w:color="auto"/>
                                        <w:bottom w:val="none" w:sz="0" w:space="0" w:color="auto"/>
                                        <w:right w:val="none" w:sz="0" w:space="0" w:color="auto"/>
                                      </w:divBdr>
                                    </w:div>
                                    <w:div w:id="1182084151">
                                      <w:marLeft w:val="0"/>
                                      <w:marRight w:val="0"/>
                                      <w:marTop w:val="0"/>
                                      <w:marBottom w:val="0"/>
                                      <w:divBdr>
                                        <w:top w:val="none" w:sz="0" w:space="0" w:color="auto"/>
                                        <w:left w:val="none" w:sz="0" w:space="0" w:color="auto"/>
                                        <w:bottom w:val="none" w:sz="0" w:space="0" w:color="auto"/>
                                        <w:right w:val="none" w:sz="0" w:space="0" w:color="auto"/>
                                      </w:divBdr>
                                    </w:div>
                                    <w:div w:id="1250846663">
                                      <w:marLeft w:val="0"/>
                                      <w:marRight w:val="0"/>
                                      <w:marTop w:val="0"/>
                                      <w:marBottom w:val="0"/>
                                      <w:divBdr>
                                        <w:top w:val="none" w:sz="0" w:space="0" w:color="auto"/>
                                        <w:left w:val="none" w:sz="0" w:space="0" w:color="auto"/>
                                        <w:bottom w:val="none" w:sz="0" w:space="0" w:color="auto"/>
                                        <w:right w:val="none" w:sz="0" w:space="0" w:color="auto"/>
                                      </w:divBdr>
                                    </w:div>
                                    <w:div w:id="1820802622">
                                      <w:marLeft w:val="0"/>
                                      <w:marRight w:val="0"/>
                                      <w:marTop w:val="0"/>
                                      <w:marBottom w:val="0"/>
                                      <w:divBdr>
                                        <w:top w:val="none" w:sz="0" w:space="0" w:color="auto"/>
                                        <w:left w:val="none" w:sz="0" w:space="0" w:color="auto"/>
                                        <w:bottom w:val="none" w:sz="0" w:space="0" w:color="auto"/>
                                        <w:right w:val="none" w:sz="0" w:space="0" w:color="auto"/>
                                      </w:divBdr>
                                    </w:div>
                                    <w:div w:id="1504708693">
                                      <w:marLeft w:val="0"/>
                                      <w:marRight w:val="0"/>
                                      <w:marTop w:val="0"/>
                                      <w:marBottom w:val="0"/>
                                      <w:divBdr>
                                        <w:top w:val="none" w:sz="0" w:space="0" w:color="auto"/>
                                        <w:left w:val="none" w:sz="0" w:space="0" w:color="auto"/>
                                        <w:bottom w:val="none" w:sz="0" w:space="0" w:color="auto"/>
                                        <w:right w:val="none" w:sz="0" w:space="0" w:color="auto"/>
                                      </w:divBdr>
                                    </w:div>
                                    <w:div w:id="532305847">
                                      <w:marLeft w:val="0"/>
                                      <w:marRight w:val="0"/>
                                      <w:marTop w:val="0"/>
                                      <w:marBottom w:val="0"/>
                                      <w:divBdr>
                                        <w:top w:val="none" w:sz="0" w:space="0" w:color="auto"/>
                                        <w:left w:val="none" w:sz="0" w:space="0" w:color="auto"/>
                                        <w:bottom w:val="none" w:sz="0" w:space="0" w:color="auto"/>
                                        <w:right w:val="none" w:sz="0" w:space="0" w:color="auto"/>
                                      </w:divBdr>
                                    </w:div>
                                    <w:div w:id="607782649">
                                      <w:marLeft w:val="0"/>
                                      <w:marRight w:val="0"/>
                                      <w:marTop w:val="0"/>
                                      <w:marBottom w:val="0"/>
                                      <w:divBdr>
                                        <w:top w:val="none" w:sz="0" w:space="0" w:color="auto"/>
                                        <w:left w:val="none" w:sz="0" w:space="0" w:color="auto"/>
                                        <w:bottom w:val="none" w:sz="0" w:space="0" w:color="auto"/>
                                        <w:right w:val="none" w:sz="0" w:space="0" w:color="auto"/>
                                      </w:divBdr>
                                    </w:div>
                                    <w:div w:id="449129668">
                                      <w:marLeft w:val="0"/>
                                      <w:marRight w:val="0"/>
                                      <w:marTop w:val="0"/>
                                      <w:marBottom w:val="0"/>
                                      <w:divBdr>
                                        <w:top w:val="none" w:sz="0" w:space="0" w:color="auto"/>
                                        <w:left w:val="none" w:sz="0" w:space="0" w:color="auto"/>
                                        <w:bottom w:val="none" w:sz="0" w:space="0" w:color="auto"/>
                                        <w:right w:val="none" w:sz="0" w:space="0" w:color="auto"/>
                                      </w:divBdr>
                                    </w:div>
                                    <w:div w:id="1945264286">
                                      <w:marLeft w:val="0"/>
                                      <w:marRight w:val="0"/>
                                      <w:marTop w:val="0"/>
                                      <w:marBottom w:val="0"/>
                                      <w:divBdr>
                                        <w:top w:val="none" w:sz="0" w:space="0" w:color="auto"/>
                                        <w:left w:val="none" w:sz="0" w:space="0" w:color="auto"/>
                                        <w:bottom w:val="none" w:sz="0" w:space="0" w:color="auto"/>
                                        <w:right w:val="none" w:sz="0" w:space="0" w:color="auto"/>
                                      </w:divBdr>
                                    </w:div>
                                    <w:div w:id="541746807">
                                      <w:marLeft w:val="0"/>
                                      <w:marRight w:val="0"/>
                                      <w:marTop w:val="0"/>
                                      <w:marBottom w:val="0"/>
                                      <w:divBdr>
                                        <w:top w:val="none" w:sz="0" w:space="0" w:color="auto"/>
                                        <w:left w:val="none" w:sz="0" w:space="0" w:color="auto"/>
                                        <w:bottom w:val="none" w:sz="0" w:space="0" w:color="auto"/>
                                        <w:right w:val="none" w:sz="0" w:space="0" w:color="auto"/>
                                      </w:divBdr>
                                    </w:div>
                                    <w:div w:id="481698249">
                                      <w:marLeft w:val="0"/>
                                      <w:marRight w:val="0"/>
                                      <w:marTop w:val="0"/>
                                      <w:marBottom w:val="0"/>
                                      <w:divBdr>
                                        <w:top w:val="none" w:sz="0" w:space="0" w:color="auto"/>
                                        <w:left w:val="none" w:sz="0" w:space="0" w:color="auto"/>
                                        <w:bottom w:val="none" w:sz="0" w:space="0" w:color="auto"/>
                                        <w:right w:val="none" w:sz="0" w:space="0" w:color="auto"/>
                                      </w:divBdr>
                                    </w:div>
                                    <w:div w:id="558247680">
                                      <w:marLeft w:val="0"/>
                                      <w:marRight w:val="0"/>
                                      <w:marTop w:val="0"/>
                                      <w:marBottom w:val="0"/>
                                      <w:divBdr>
                                        <w:top w:val="none" w:sz="0" w:space="0" w:color="auto"/>
                                        <w:left w:val="none" w:sz="0" w:space="0" w:color="auto"/>
                                        <w:bottom w:val="none" w:sz="0" w:space="0" w:color="auto"/>
                                        <w:right w:val="none" w:sz="0" w:space="0" w:color="auto"/>
                                      </w:divBdr>
                                    </w:div>
                                    <w:div w:id="462776822">
                                      <w:marLeft w:val="0"/>
                                      <w:marRight w:val="0"/>
                                      <w:marTop w:val="0"/>
                                      <w:marBottom w:val="0"/>
                                      <w:divBdr>
                                        <w:top w:val="none" w:sz="0" w:space="0" w:color="auto"/>
                                        <w:left w:val="none" w:sz="0" w:space="0" w:color="auto"/>
                                        <w:bottom w:val="none" w:sz="0" w:space="0" w:color="auto"/>
                                        <w:right w:val="none" w:sz="0" w:space="0" w:color="auto"/>
                                      </w:divBdr>
                                    </w:div>
                                    <w:div w:id="428543098">
                                      <w:marLeft w:val="0"/>
                                      <w:marRight w:val="0"/>
                                      <w:marTop w:val="0"/>
                                      <w:marBottom w:val="0"/>
                                      <w:divBdr>
                                        <w:top w:val="none" w:sz="0" w:space="0" w:color="auto"/>
                                        <w:left w:val="none" w:sz="0" w:space="0" w:color="auto"/>
                                        <w:bottom w:val="none" w:sz="0" w:space="0" w:color="auto"/>
                                        <w:right w:val="none" w:sz="0" w:space="0" w:color="auto"/>
                                      </w:divBdr>
                                    </w:div>
                                    <w:div w:id="1026756975">
                                      <w:marLeft w:val="0"/>
                                      <w:marRight w:val="0"/>
                                      <w:marTop w:val="0"/>
                                      <w:marBottom w:val="0"/>
                                      <w:divBdr>
                                        <w:top w:val="none" w:sz="0" w:space="0" w:color="auto"/>
                                        <w:left w:val="none" w:sz="0" w:space="0" w:color="auto"/>
                                        <w:bottom w:val="none" w:sz="0" w:space="0" w:color="auto"/>
                                        <w:right w:val="none" w:sz="0" w:space="0" w:color="auto"/>
                                      </w:divBdr>
                                    </w:div>
                                    <w:div w:id="1577545349">
                                      <w:marLeft w:val="0"/>
                                      <w:marRight w:val="0"/>
                                      <w:marTop w:val="0"/>
                                      <w:marBottom w:val="0"/>
                                      <w:divBdr>
                                        <w:top w:val="none" w:sz="0" w:space="0" w:color="auto"/>
                                        <w:left w:val="none" w:sz="0" w:space="0" w:color="auto"/>
                                        <w:bottom w:val="none" w:sz="0" w:space="0" w:color="auto"/>
                                        <w:right w:val="none" w:sz="0" w:space="0" w:color="auto"/>
                                      </w:divBdr>
                                    </w:div>
                                    <w:div w:id="2138528013">
                                      <w:marLeft w:val="0"/>
                                      <w:marRight w:val="0"/>
                                      <w:marTop w:val="0"/>
                                      <w:marBottom w:val="0"/>
                                      <w:divBdr>
                                        <w:top w:val="none" w:sz="0" w:space="0" w:color="auto"/>
                                        <w:left w:val="none" w:sz="0" w:space="0" w:color="auto"/>
                                        <w:bottom w:val="none" w:sz="0" w:space="0" w:color="auto"/>
                                        <w:right w:val="none" w:sz="0" w:space="0" w:color="auto"/>
                                      </w:divBdr>
                                    </w:div>
                                    <w:div w:id="1704868843">
                                      <w:marLeft w:val="0"/>
                                      <w:marRight w:val="0"/>
                                      <w:marTop w:val="0"/>
                                      <w:marBottom w:val="0"/>
                                      <w:divBdr>
                                        <w:top w:val="none" w:sz="0" w:space="0" w:color="auto"/>
                                        <w:left w:val="none" w:sz="0" w:space="0" w:color="auto"/>
                                        <w:bottom w:val="none" w:sz="0" w:space="0" w:color="auto"/>
                                        <w:right w:val="none" w:sz="0" w:space="0" w:color="auto"/>
                                      </w:divBdr>
                                    </w:div>
                                    <w:div w:id="999651732">
                                      <w:marLeft w:val="0"/>
                                      <w:marRight w:val="0"/>
                                      <w:marTop w:val="0"/>
                                      <w:marBottom w:val="0"/>
                                      <w:divBdr>
                                        <w:top w:val="none" w:sz="0" w:space="0" w:color="auto"/>
                                        <w:left w:val="none" w:sz="0" w:space="0" w:color="auto"/>
                                        <w:bottom w:val="none" w:sz="0" w:space="0" w:color="auto"/>
                                        <w:right w:val="none" w:sz="0" w:space="0" w:color="auto"/>
                                      </w:divBdr>
                                    </w:div>
                                    <w:div w:id="1193572522">
                                      <w:marLeft w:val="0"/>
                                      <w:marRight w:val="0"/>
                                      <w:marTop w:val="0"/>
                                      <w:marBottom w:val="0"/>
                                      <w:divBdr>
                                        <w:top w:val="none" w:sz="0" w:space="0" w:color="auto"/>
                                        <w:left w:val="none" w:sz="0" w:space="0" w:color="auto"/>
                                        <w:bottom w:val="none" w:sz="0" w:space="0" w:color="auto"/>
                                        <w:right w:val="none" w:sz="0" w:space="0" w:color="auto"/>
                                      </w:divBdr>
                                    </w:div>
                                    <w:div w:id="1307511073">
                                      <w:marLeft w:val="0"/>
                                      <w:marRight w:val="0"/>
                                      <w:marTop w:val="0"/>
                                      <w:marBottom w:val="0"/>
                                      <w:divBdr>
                                        <w:top w:val="none" w:sz="0" w:space="0" w:color="auto"/>
                                        <w:left w:val="none" w:sz="0" w:space="0" w:color="auto"/>
                                        <w:bottom w:val="none" w:sz="0" w:space="0" w:color="auto"/>
                                        <w:right w:val="none" w:sz="0" w:space="0" w:color="auto"/>
                                      </w:divBdr>
                                    </w:div>
                                    <w:div w:id="1322585623">
                                      <w:marLeft w:val="0"/>
                                      <w:marRight w:val="0"/>
                                      <w:marTop w:val="0"/>
                                      <w:marBottom w:val="0"/>
                                      <w:divBdr>
                                        <w:top w:val="none" w:sz="0" w:space="0" w:color="auto"/>
                                        <w:left w:val="none" w:sz="0" w:space="0" w:color="auto"/>
                                        <w:bottom w:val="none" w:sz="0" w:space="0" w:color="auto"/>
                                        <w:right w:val="none" w:sz="0" w:space="0" w:color="auto"/>
                                      </w:divBdr>
                                    </w:div>
                                    <w:div w:id="301665848">
                                      <w:marLeft w:val="0"/>
                                      <w:marRight w:val="0"/>
                                      <w:marTop w:val="0"/>
                                      <w:marBottom w:val="0"/>
                                      <w:divBdr>
                                        <w:top w:val="none" w:sz="0" w:space="0" w:color="auto"/>
                                        <w:left w:val="none" w:sz="0" w:space="0" w:color="auto"/>
                                        <w:bottom w:val="none" w:sz="0" w:space="0" w:color="auto"/>
                                        <w:right w:val="none" w:sz="0" w:space="0" w:color="auto"/>
                                      </w:divBdr>
                                    </w:div>
                                    <w:div w:id="2061709642">
                                      <w:marLeft w:val="0"/>
                                      <w:marRight w:val="0"/>
                                      <w:marTop w:val="0"/>
                                      <w:marBottom w:val="0"/>
                                      <w:divBdr>
                                        <w:top w:val="none" w:sz="0" w:space="0" w:color="auto"/>
                                        <w:left w:val="none" w:sz="0" w:space="0" w:color="auto"/>
                                        <w:bottom w:val="none" w:sz="0" w:space="0" w:color="auto"/>
                                        <w:right w:val="none" w:sz="0" w:space="0" w:color="auto"/>
                                      </w:divBdr>
                                    </w:div>
                                    <w:div w:id="2112048632">
                                      <w:marLeft w:val="0"/>
                                      <w:marRight w:val="0"/>
                                      <w:marTop w:val="0"/>
                                      <w:marBottom w:val="0"/>
                                      <w:divBdr>
                                        <w:top w:val="none" w:sz="0" w:space="0" w:color="auto"/>
                                        <w:left w:val="none" w:sz="0" w:space="0" w:color="auto"/>
                                        <w:bottom w:val="none" w:sz="0" w:space="0" w:color="auto"/>
                                        <w:right w:val="none" w:sz="0" w:space="0" w:color="auto"/>
                                      </w:divBdr>
                                    </w:div>
                                    <w:div w:id="1238781732">
                                      <w:marLeft w:val="0"/>
                                      <w:marRight w:val="0"/>
                                      <w:marTop w:val="0"/>
                                      <w:marBottom w:val="0"/>
                                      <w:divBdr>
                                        <w:top w:val="none" w:sz="0" w:space="0" w:color="auto"/>
                                        <w:left w:val="none" w:sz="0" w:space="0" w:color="auto"/>
                                        <w:bottom w:val="none" w:sz="0" w:space="0" w:color="auto"/>
                                        <w:right w:val="none" w:sz="0" w:space="0" w:color="auto"/>
                                      </w:divBdr>
                                    </w:div>
                                    <w:div w:id="1107775045">
                                      <w:marLeft w:val="0"/>
                                      <w:marRight w:val="0"/>
                                      <w:marTop w:val="0"/>
                                      <w:marBottom w:val="0"/>
                                      <w:divBdr>
                                        <w:top w:val="none" w:sz="0" w:space="0" w:color="auto"/>
                                        <w:left w:val="none" w:sz="0" w:space="0" w:color="auto"/>
                                        <w:bottom w:val="none" w:sz="0" w:space="0" w:color="auto"/>
                                        <w:right w:val="none" w:sz="0" w:space="0" w:color="auto"/>
                                      </w:divBdr>
                                    </w:div>
                                    <w:div w:id="1471630302">
                                      <w:marLeft w:val="0"/>
                                      <w:marRight w:val="0"/>
                                      <w:marTop w:val="0"/>
                                      <w:marBottom w:val="0"/>
                                      <w:divBdr>
                                        <w:top w:val="none" w:sz="0" w:space="0" w:color="auto"/>
                                        <w:left w:val="none" w:sz="0" w:space="0" w:color="auto"/>
                                        <w:bottom w:val="none" w:sz="0" w:space="0" w:color="auto"/>
                                        <w:right w:val="none" w:sz="0" w:space="0" w:color="auto"/>
                                      </w:divBdr>
                                    </w:div>
                                    <w:div w:id="742721243">
                                      <w:marLeft w:val="0"/>
                                      <w:marRight w:val="0"/>
                                      <w:marTop w:val="0"/>
                                      <w:marBottom w:val="0"/>
                                      <w:divBdr>
                                        <w:top w:val="none" w:sz="0" w:space="0" w:color="auto"/>
                                        <w:left w:val="none" w:sz="0" w:space="0" w:color="auto"/>
                                        <w:bottom w:val="none" w:sz="0" w:space="0" w:color="auto"/>
                                        <w:right w:val="none" w:sz="0" w:space="0" w:color="auto"/>
                                      </w:divBdr>
                                    </w:div>
                                    <w:div w:id="216163230">
                                      <w:marLeft w:val="0"/>
                                      <w:marRight w:val="0"/>
                                      <w:marTop w:val="0"/>
                                      <w:marBottom w:val="0"/>
                                      <w:divBdr>
                                        <w:top w:val="none" w:sz="0" w:space="0" w:color="auto"/>
                                        <w:left w:val="none" w:sz="0" w:space="0" w:color="auto"/>
                                        <w:bottom w:val="none" w:sz="0" w:space="0" w:color="auto"/>
                                        <w:right w:val="none" w:sz="0" w:space="0" w:color="auto"/>
                                      </w:divBdr>
                                    </w:div>
                                    <w:div w:id="1135022877">
                                      <w:marLeft w:val="0"/>
                                      <w:marRight w:val="0"/>
                                      <w:marTop w:val="0"/>
                                      <w:marBottom w:val="0"/>
                                      <w:divBdr>
                                        <w:top w:val="none" w:sz="0" w:space="0" w:color="auto"/>
                                        <w:left w:val="none" w:sz="0" w:space="0" w:color="auto"/>
                                        <w:bottom w:val="none" w:sz="0" w:space="0" w:color="auto"/>
                                        <w:right w:val="none" w:sz="0" w:space="0" w:color="auto"/>
                                      </w:divBdr>
                                    </w:div>
                                    <w:div w:id="1522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Company>China</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2019-02-11T08:17:00Z</dcterms:created>
  <dcterms:modified xsi:type="dcterms:W3CDTF">2019-02-12T01:37:00Z</dcterms:modified>
</cp:coreProperties>
</file>